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settings.xml" ContentType="application/vnd.openxmlformats-officedocument.wordprocessingml.settings+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document.xml" ContentType="application/vnd.openxmlformats-officedocument.wordprocessingml.document.main+xml"/>
  <Override PartName="/word/numbering.xml" ContentType="application/vnd.openxmlformats-officedocument.wordprocessingml.numbering+xml"/>
  <Override PartName="/word/fontTable.xml" ContentType="application/vnd.openxmlformats-officedocument.wordprocessingml.fontTable+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DEDC553">
      <w:pPr>
        <w:rPr>
          <w:rFonts w:ascii="Arial" w:hAnsi="Arial" w:cs="Arial"/>
          <w:b/>
        </w:rPr>
      </w:pPr>
      <w:r>
        <w:rPr>
          <w:rFonts w:ascii="Arial" w:hAnsi="Arial" w:cs="Arial"/>
          <w:b/>
        </w:rPr>
        <w:t>GSMA Coordinated Vulnerability Disclosure</w:t>
      </w:r>
    </w:p>
    <w:p w14:paraId="65B7E062">
      <w:pPr>
        <w:rPr>
          <w:rFonts w:ascii="Arial" w:hAnsi="Arial" w:cs="Arial"/>
          <w:b/>
        </w:rPr>
      </w:pPr>
      <w:r>
        <w:rPr>
          <w:rFonts w:ascii="Arial" w:hAnsi="Arial" w:cs="Arial"/>
          <w:b/>
        </w:rPr>
        <w:t>Document Template – WORD Format</w:t>
      </w: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3"/>
        <w:gridCol w:w="7703"/>
      </w:tblGrid>
      <w:tr w14:paraId="4D2CCC6E">
        <w:tc>
          <w:tcPr>
            <w:tcW w:w="8958" w:type="dxa"/>
            <w:gridSpan w:val="2"/>
            <w:shd w:val="clear" w:color="auto" w:fill="C00000"/>
          </w:tcPr>
          <w:p w14:paraId="5A280AA2">
            <w:pPr>
              <w:spacing w:before="120"/>
              <w:rPr>
                <w:rFonts w:ascii="Arial" w:hAnsi="Arial" w:cs="Arial"/>
                <w:b/>
                <w:i/>
                <w:color w:val="FFFFFF" w:themeColor="background1"/>
                <w:sz w:val="20"/>
                <w:szCs w:val="20"/>
                <w14:textFill>
                  <w14:solidFill>
                    <w14:schemeClr w14:val="bg1"/>
                  </w14:solidFill>
                </w14:textFill>
              </w:rPr>
            </w:pPr>
            <w:r>
              <w:rPr>
                <w:rFonts w:ascii="Arial" w:hAnsi="Arial" w:cs="Arial"/>
                <w:b/>
                <w:i/>
                <w:color w:val="FFFFFF" w:themeColor="background1"/>
                <w:sz w:val="20"/>
                <w:szCs w:val="20"/>
                <w14:textFill>
                  <w14:solidFill>
                    <w14:schemeClr w14:val="bg1"/>
                  </w14:solidFill>
                </w14:textFill>
              </w:rPr>
              <w:t xml:space="preserve">Reporter Details </w:t>
            </w:r>
          </w:p>
        </w:tc>
      </w:tr>
      <w:tr w14:paraId="4881D62C">
        <w:tc>
          <w:tcPr>
            <w:tcW w:w="3256" w:type="dxa"/>
            <w:shd w:val="clear" w:color="auto" w:fill="C00000"/>
          </w:tcPr>
          <w:p w14:paraId="4AAB8129">
            <w:pPr>
              <w:spacing w:before="120"/>
              <w:rPr>
                <w:rFonts w:ascii="Arial" w:hAnsi="Arial" w:cs="Arial"/>
                <w:color w:val="FFFFFF" w:themeColor="background1"/>
                <w:sz w:val="20"/>
                <w:szCs w:val="20"/>
                <w14:textFill>
                  <w14:solidFill>
                    <w14:schemeClr w14:val="bg1"/>
                  </w14:solidFill>
                </w14:textFill>
              </w:rPr>
            </w:pPr>
            <w:r>
              <w:rPr>
                <w:rFonts w:ascii="Arial" w:hAnsi="Arial" w:cs="Arial"/>
                <w:color w:val="FFFFFF" w:themeColor="background1"/>
                <w:sz w:val="20"/>
                <w:szCs w:val="20"/>
                <w14:textFill>
                  <w14:solidFill>
                    <w14:schemeClr w14:val="bg1"/>
                  </w14:solidFill>
                </w14:textFill>
              </w:rPr>
              <w:t>Name (either full or nickname):</w:t>
            </w:r>
          </w:p>
          <w:p w14:paraId="3086DCA2">
            <w:pPr>
              <w:spacing w:before="120"/>
              <w:rPr>
                <w:rFonts w:ascii="Arial" w:hAnsi="Arial" w:cs="Arial"/>
                <w:b/>
                <w:i/>
                <w:color w:val="FFFFFF" w:themeColor="background1"/>
                <w:sz w:val="20"/>
                <w:szCs w:val="20"/>
                <w14:textFill>
                  <w14:solidFill>
                    <w14:schemeClr w14:val="bg1"/>
                  </w14:solidFill>
                </w14:textFill>
              </w:rPr>
            </w:pPr>
            <w:r>
              <w:rPr>
                <w:rFonts w:ascii="Arial" w:hAnsi="Arial" w:cs="Arial"/>
                <w:b/>
                <w:i/>
                <w:color w:val="FFFFFF" w:themeColor="background1"/>
                <w:sz w:val="20"/>
                <w:szCs w:val="20"/>
                <w14:textFill>
                  <w14:solidFill>
                    <w14:schemeClr w14:val="bg1"/>
                  </w14:solidFill>
                </w14:textFill>
              </w:rPr>
              <w:t>(Mandatory Field)</w:t>
            </w:r>
          </w:p>
        </w:tc>
        <w:tc>
          <w:tcPr>
            <w:tcW w:w="5702" w:type="dxa"/>
          </w:tcPr>
          <w:p w14:paraId="40CB0B6B">
            <w:pPr>
              <w:spacing w:before="120"/>
              <w:rPr>
                <w:rFonts w:hint="default" w:ascii="Arial" w:hAnsi="Arial" w:eastAsia="宋体" w:cs="Arial"/>
                <w:sz w:val="20"/>
                <w:szCs w:val="20"/>
                <w:lang w:val="en-US" w:eastAsia="zh-CN"/>
              </w:rPr>
            </w:pPr>
            <w:r>
              <w:rPr>
                <w:rFonts w:hint="eastAsia" w:ascii="Arial" w:hAnsi="Arial" w:eastAsia="宋体" w:cs="Arial"/>
                <w:sz w:val="20"/>
                <w:szCs w:val="20"/>
                <w:lang w:val="en-US" w:eastAsia="zh-CN"/>
              </w:rPr>
              <w:t>S</w:t>
            </w:r>
            <w:r>
              <w:rPr>
                <w:rFonts w:ascii="Arial" w:hAnsi="Arial" w:eastAsia="宋体" w:cs="Arial"/>
                <w:sz w:val="20"/>
                <w:szCs w:val="20"/>
                <w:lang w:val="en-US" w:eastAsia="zh-CN"/>
              </w:rPr>
              <w:t>haocong Feng</w:t>
            </w:r>
            <w:r>
              <w:rPr>
                <w:rFonts w:hint="default" w:ascii="Arial" w:hAnsi="Arial" w:eastAsia="宋体" w:cs="Arial"/>
                <w:sz w:val="20"/>
                <w:szCs w:val="20"/>
                <w:lang w:val="en-US" w:eastAsia="zh-CN"/>
              </w:rPr>
              <w:t>, Baojiang Cui</w:t>
            </w:r>
          </w:p>
        </w:tc>
      </w:tr>
      <w:tr w14:paraId="4E2694EE">
        <w:tc>
          <w:tcPr>
            <w:tcW w:w="3256" w:type="dxa"/>
            <w:shd w:val="clear" w:color="auto" w:fill="C00000"/>
          </w:tcPr>
          <w:p w14:paraId="380228B5">
            <w:pPr>
              <w:spacing w:before="120"/>
              <w:rPr>
                <w:rFonts w:ascii="Arial" w:hAnsi="Arial" w:cs="Arial"/>
                <w:color w:val="FFFFFF" w:themeColor="background1"/>
                <w:sz w:val="20"/>
                <w:szCs w:val="20"/>
                <w14:textFill>
                  <w14:solidFill>
                    <w14:schemeClr w14:val="bg1"/>
                  </w14:solidFill>
                </w14:textFill>
              </w:rPr>
            </w:pPr>
            <w:r>
              <w:rPr>
                <w:rFonts w:ascii="Arial" w:hAnsi="Arial" w:cs="Arial"/>
                <w:color w:val="FFFFFF" w:themeColor="background1"/>
                <w:sz w:val="20"/>
                <w:szCs w:val="20"/>
                <w14:textFill>
                  <w14:solidFill>
                    <w14:schemeClr w14:val="bg1"/>
                  </w14:solidFill>
                </w14:textFill>
              </w:rPr>
              <w:t>Organisation</w:t>
            </w:r>
          </w:p>
        </w:tc>
        <w:tc>
          <w:tcPr>
            <w:tcW w:w="5702" w:type="dxa"/>
          </w:tcPr>
          <w:p w14:paraId="45E06F9C">
            <w:pPr>
              <w:spacing w:before="120"/>
              <w:rPr>
                <w:rFonts w:ascii="Arial" w:hAnsi="Arial" w:cs="Arial"/>
                <w:sz w:val="20"/>
                <w:szCs w:val="20"/>
              </w:rPr>
            </w:pPr>
            <w:r>
              <w:rPr>
                <w:rFonts w:hint="eastAsia" w:ascii="Arial" w:hAnsi="Arial" w:cs="Arial"/>
                <w:sz w:val="20"/>
                <w:szCs w:val="20"/>
              </w:rPr>
              <w:t>Beijing University of Posts and Telecommunications</w:t>
            </w:r>
          </w:p>
        </w:tc>
      </w:tr>
      <w:tr w14:paraId="3AD0D541">
        <w:tc>
          <w:tcPr>
            <w:tcW w:w="3256" w:type="dxa"/>
            <w:shd w:val="clear" w:color="auto" w:fill="C00000"/>
          </w:tcPr>
          <w:p w14:paraId="392C3F76">
            <w:pPr>
              <w:spacing w:before="120"/>
              <w:rPr>
                <w:rFonts w:ascii="Arial" w:hAnsi="Arial" w:cs="Arial"/>
                <w:color w:val="FFFFFF" w:themeColor="background1"/>
                <w:sz w:val="20"/>
                <w:szCs w:val="20"/>
                <w14:textFill>
                  <w14:solidFill>
                    <w14:schemeClr w14:val="bg1"/>
                  </w14:solidFill>
                </w14:textFill>
              </w:rPr>
            </w:pPr>
            <w:r>
              <w:rPr>
                <w:rFonts w:ascii="Arial" w:hAnsi="Arial" w:cs="Arial"/>
                <w:color w:val="FFFFFF" w:themeColor="background1"/>
                <w:sz w:val="20"/>
                <w:szCs w:val="20"/>
                <w14:textFill>
                  <w14:solidFill>
                    <w14:schemeClr w14:val="bg1"/>
                  </w14:solidFill>
                </w14:textFill>
              </w:rPr>
              <w:t>Email</w:t>
            </w:r>
          </w:p>
          <w:p w14:paraId="718B52E7">
            <w:pPr>
              <w:spacing w:before="120"/>
              <w:rPr>
                <w:rFonts w:ascii="Arial" w:hAnsi="Arial" w:cs="Arial"/>
                <w:b/>
                <w:i/>
                <w:color w:val="FFFFFF" w:themeColor="background1"/>
                <w:sz w:val="20"/>
                <w:szCs w:val="20"/>
                <w14:textFill>
                  <w14:solidFill>
                    <w14:schemeClr w14:val="bg1"/>
                  </w14:solidFill>
                </w14:textFill>
              </w:rPr>
            </w:pPr>
            <w:r>
              <w:rPr>
                <w:rFonts w:ascii="Arial" w:hAnsi="Arial" w:cs="Arial"/>
                <w:b/>
                <w:i/>
                <w:color w:val="FFFFFF" w:themeColor="background1"/>
                <w:sz w:val="20"/>
                <w:szCs w:val="20"/>
                <w14:textFill>
                  <w14:solidFill>
                    <w14:schemeClr w14:val="bg1"/>
                  </w14:solidFill>
                </w14:textFill>
              </w:rPr>
              <w:t>(Mandatory Field)</w:t>
            </w:r>
          </w:p>
        </w:tc>
        <w:tc>
          <w:tcPr>
            <w:tcW w:w="5702" w:type="dxa"/>
          </w:tcPr>
          <w:p w14:paraId="08F85B3C">
            <w:pPr>
              <w:spacing w:before="120"/>
              <w:rPr>
                <w:rFonts w:hint="default" w:ascii="Arial" w:hAnsi="Arial" w:eastAsia="宋体" w:cs="Arial"/>
                <w:sz w:val="20"/>
                <w:szCs w:val="20"/>
                <w:lang w:val="en-US" w:eastAsia="zh-CN"/>
              </w:rPr>
            </w:pPr>
            <w:r>
              <w:rPr>
                <w:rFonts w:hint="eastAsia" w:ascii="Arial" w:hAnsi="Arial" w:eastAsia="宋体" w:cs="Arial"/>
                <w:sz w:val="20"/>
                <w:szCs w:val="20"/>
                <w:lang w:val="en-US" w:eastAsia="zh-CN"/>
              </w:rPr>
              <w:t>fengsh</w:t>
            </w:r>
            <w:r>
              <w:rPr>
                <w:rFonts w:ascii="Arial" w:hAnsi="Arial" w:eastAsia="宋体" w:cs="Arial"/>
                <w:sz w:val="20"/>
                <w:szCs w:val="20"/>
                <w:lang w:val="en-US" w:eastAsia="zh-CN"/>
              </w:rPr>
              <w:t>aocong</w:t>
            </w:r>
            <w:r>
              <w:rPr>
                <w:rFonts w:hint="default" w:ascii="Arial" w:hAnsi="Arial" w:eastAsia="宋体" w:cs="Arial"/>
                <w:sz w:val="20"/>
                <w:szCs w:val="20"/>
                <w:lang w:val="en-US" w:eastAsia="zh-CN"/>
              </w:rPr>
              <w:t>@bupt.edu.cn</w:t>
            </w:r>
          </w:p>
        </w:tc>
      </w:tr>
      <w:tr w14:paraId="6FA165D0">
        <w:tc>
          <w:tcPr>
            <w:tcW w:w="3256" w:type="dxa"/>
            <w:shd w:val="clear" w:color="auto" w:fill="C00000"/>
          </w:tcPr>
          <w:p w14:paraId="7891EAE3">
            <w:pPr>
              <w:spacing w:before="120"/>
              <w:rPr>
                <w:rFonts w:ascii="Arial" w:hAnsi="Arial" w:cs="Arial"/>
                <w:color w:val="FFFFFF" w:themeColor="background1"/>
                <w:sz w:val="20"/>
                <w:szCs w:val="20"/>
                <w14:textFill>
                  <w14:solidFill>
                    <w14:schemeClr w14:val="bg1"/>
                  </w14:solidFill>
                </w14:textFill>
              </w:rPr>
            </w:pPr>
            <w:r>
              <w:rPr>
                <w:rFonts w:ascii="Arial" w:hAnsi="Arial" w:cs="Arial"/>
                <w:color w:val="FFFFFF" w:themeColor="background1"/>
                <w:sz w:val="20"/>
                <w:szCs w:val="20"/>
                <w14:textFill>
                  <w14:solidFill>
                    <w14:schemeClr w14:val="bg1"/>
                  </w14:solidFill>
                </w14:textFill>
              </w:rPr>
              <w:t>Telephone</w:t>
            </w:r>
          </w:p>
        </w:tc>
        <w:tc>
          <w:tcPr>
            <w:tcW w:w="5702" w:type="dxa"/>
          </w:tcPr>
          <w:p w14:paraId="10ED0339">
            <w:pPr>
              <w:spacing w:before="120"/>
              <w:rPr>
                <w:rFonts w:ascii="Arial" w:hAnsi="Arial" w:cs="Arial"/>
                <w:sz w:val="20"/>
                <w:szCs w:val="20"/>
                <w:lang w:val="en-US"/>
              </w:rPr>
            </w:pPr>
            <w:r>
              <w:rPr>
                <w:rFonts w:ascii="Arial" w:hAnsi="Arial" w:cs="Arial"/>
                <w:sz w:val="20"/>
                <w:szCs w:val="20"/>
                <w:lang w:val="en-US"/>
              </w:rPr>
              <w:t>+86 18392051730</w:t>
            </w:r>
          </w:p>
        </w:tc>
      </w:tr>
      <w:tr w14:paraId="54CB2A88">
        <w:tc>
          <w:tcPr>
            <w:tcW w:w="3256" w:type="dxa"/>
            <w:shd w:val="clear" w:color="auto" w:fill="C00000"/>
          </w:tcPr>
          <w:p w14:paraId="1DCBE10A">
            <w:pPr>
              <w:spacing w:before="120"/>
              <w:rPr>
                <w:rFonts w:ascii="Arial" w:hAnsi="Arial" w:cs="Arial"/>
                <w:color w:val="FFFFFF" w:themeColor="background1"/>
                <w:sz w:val="20"/>
                <w:szCs w:val="20"/>
                <w14:textFill>
                  <w14:solidFill>
                    <w14:schemeClr w14:val="bg1"/>
                  </w14:solidFill>
                </w14:textFill>
              </w:rPr>
            </w:pPr>
            <w:r>
              <w:rPr>
                <w:rFonts w:ascii="Arial" w:hAnsi="Arial" w:cs="Arial"/>
                <w:color w:val="FFFFFF" w:themeColor="background1"/>
                <w:sz w:val="20"/>
                <w:szCs w:val="20"/>
                <w14:textFill>
                  <w14:solidFill>
                    <w14:schemeClr w14:val="bg1"/>
                  </w14:solidFill>
                </w14:textFill>
              </w:rPr>
              <w:t>Can we provide your name to the vendor if required</w:t>
            </w:r>
          </w:p>
        </w:tc>
        <w:tc>
          <w:tcPr>
            <w:tcW w:w="5702" w:type="dxa"/>
          </w:tcPr>
          <w:p w14:paraId="3184F581">
            <w:pPr>
              <w:spacing w:before="120"/>
              <w:rPr>
                <w:rFonts w:ascii="Arial" w:hAnsi="Arial" w:cs="Arial"/>
                <w:sz w:val="20"/>
                <w:szCs w:val="20"/>
              </w:rPr>
            </w:pPr>
            <w:r>
              <w:rPr>
                <w:rFonts w:ascii="Arial" w:hAnsi="Arial" w:cs="Arial"/>
                <w:sz w:val="20"/>
                <w:szCs w:val="20"/>
              </w:rPr>
              <w:t xml:space="preserve">No </w:t>
            </w:r>
            <w:sdt>
              <w:sdtPr>
                <w:rPr>
                  <w:rFonts w:ascii="Arial" w:hAnsi="Arial" w:cs="Arial"/>
                  <w:sz w:val="20"/>
                </w:rPr>
                <w:id w:val="811296012"/>
                <w14:checkbox>
                  <w14:checked w14:val="0"/>
                  <w14:checkedState w14:val="2612" w14:font="MS Gothic"/>
                  <w14:uncheckedState w14:val="2610" w14:font="MS Gothic"/>
                </w14:checkbox>
              </w:sdtPr>
              <w:sdtEndPr>
                <w:rPr>
                  <w:rFonts w:ascii="Arial" w:hAnsi="Arial" w:cs="Arial"/>
                  <w:sz w:val="20"/>
                </w:rPr>
              </w:sdtEndPr>
              <w:sdtContent>
                <w:r>
                  <w:rPr>
                    <w:rFonts w:hint="eastAsia" w:ascii="MS Gothic" w:hAnsi="MS Gothic" w:eastAsia="MS Gothic" w:cs="Arial"/>
                    <w:sz w:val="20"/>
                  </w:rPr>
                  <w:t>☐</w:t>
                </w:r>
              </w:sdtContent>
            </w:sdt>
            <w:r>
              <w:rPr>
                <w:rFonts w:ascii="Arial" w:hAnsi="Arial" w:cs="Arial"/>
                <w:sz w:val="20"/>
                <w:szCs w:val="20"/>
              </w:rPr>
              <w:t xml:space="preserve">          Yes </w:t>
            </w:r>
            <w:sdt>
              <w:sdtPr>
                <w:rPr>
                  <w:rFonts w:ascii="Arial" w:hAnsi="Arial" w:cs="Arial"/>
                  <w:sz w:val="20"/>
                </w:rPr>
                <w:id w:val="-1"/>
                <w14:checkbox>
                  <w14:checked w14:val="1"/>
                  <w14:checkedState w14:val="2612" w14:font="MS Gothic"/>
                  <w14:uncheckedState w14:val="2610" w14:font="MS Gothic"/>
                </w14:checkbox>
              </w:sdtPr>
              <w:sdtEndPr>
                <w:rPr>
                  <w:rFonts w:ascii="Arial" w:hAnsi="Arial" w:cs="Arial"/>
                  <w:sz w:val="20"/>
                </w:rPr>
              </w:sdtEndPr>
              <w:sdtContent>
                <w:r>
                  <w:rPr>
                    <w:rFonts w:hint="eastAsia" w:ascii="MS Gothic" w:hAnsi="MS Gothic" w:eastAsia="MS Gothic" w:cs="Arial"/>
                    <w:sz w:val="20"/>
                    <w:szCs w:val="22"/>
                    <w:lang w:val="en-GB" w:eastAsia="en-GB" w:bidi="ar-SA"/>
                  </w:rPr>
                  <w:t>☒</w:t>
                </w:r>
              </w:sdtContent>
            </w:sdt>
          </w:p>
        </w:tc>
      </w:tr>
      <w:tr w14:paraId="19342C21">
        <w:tc>
          <w:tcPr>
            <w:tcW w:w="3256" w:type="dxa"/>
            <w:shd w:val="clear" w:color="auto" w:fill="C00000"/>
          </w:tcPr>
          <w:p w14:paraId="112B86FD">
            <w:pPr>
              <w:spacing w:before="120"/>
              <w:rPr>
                <w:rFonts w:ascii="Arial" w:hAnsi="Arial" w:cs="Arial"/>
                <w:color w:val="FFFFFF" w:themeColor="background1"/>
                <w:sz w:val="20"/>
                <w:szCs w:val="20"/>
                <w14:textFill>
                  <w14:solidFill>
                    <w14:schemeClr w14:val="bg1"/>
                  </w14:solidFill>
                </w14:textFill>
              </w:rPr>
            </w:pPr>
            <w:r>
              <w:rPr>
                <w:rFonts w:ascii="Arial" w:hAnsi="Arial" w:cs="Arial"/>
                <w:color w:val="FFFFFF" w:themeColor="background1"/>
                <w:sz w:val="20"/>
                <w:szCs w:val="20"/>
                <w14:textFill>
                  <w14:solidFill>
                    <w14:schemeClr w14:val="bg1"/>
                  </w14:solidFill>
                </w14:textFill>
              </w:rPr>
              <w:t>Do you want to be publicly acknowledged</w:t>
            </w:r>
          </w:p>
        </w:tc>
        <w:tc>
          <w:tcPr>
            <w:tcW w:w="5702" w:type="dxa"/>
          </w:tcPr>
          <w:p w14:paraId="4DE65ABF">
            <w:pPr>
              <w:spacing w:before="120"/>
              <w:rPr>
                <w:rFonts w:ascii="Arial" w:hAnsi="Arial" w:cs="Arial"/>
                <w:sz w:val="20"/>
                <w:szCs w:val="20"/>
              </w:rPr>
            </w:pPr>
            <w:r>
              <w:rPr>
                <w:rFonts w:ascii="Arial" w:hAnsi="Arial" w:cs="Arial"/>
                <w:sz w:val="20"/>
                <w:szCs w:val="20"/>
              </w:rPr>
              <w:t xml:space="preserve">No </w:t>
            </w:r>
            <w:sdt>
              <w:sdtPr>
                <w:rPr>
                  <w:rFonts w:ascii="Arial" w:hAnsi="Arial" w:cs="Arial"/>
                  <w:sz w:val="20"/>
                </w:rPr>
                <w:id w:val="413591738"/>
                <w14:checkbox>
                  <w14:checked w14:val="0"/>
                  <w14:checkedState w14:val="2612" w14:font="MS Gothic"/>
                  <w14:uncheckedState w14:val="2610" w14:font="MS Gothic"/>
                </w14:checkbox>
              </w:sdtPr>
              <w:sdtEndPr>
                <w:rPr>
                  <w:rFonts w:ascii="Arial" w:hAnsi="Arial" w:cs="Arial"/>
                  <w:sz w:val="20"/>
                </w:rPr>
              </w:sdtEndPr>
              <w:sdtContent>
                <w:r>
                  <w:rPr>
                    <w:rFonts w:hint="eastAsia" w:ascii="MS Gothic" w:hAnsi="MS Gothic" w:eastAsia="MS Gothic" w:cs="Arial"/>
                    <w:sz w:val="20"/>
                  </w:rPr>
                  <w:t>☐</w:t>
                </w:r>
              </w:sdtContent>
            </w:sdt>
            <w:r>
              <w:rPr>
                <w:rFonts w:ascii="Arial" w:hAnsi="Arial" w:cs="Arial"/>
                <w:sz w:val="20"/>
                <w:szCs w:val="20"/>
              </w:rPr>
              <w:t xml:space="preserve">          Yes </w:t>
            </w:r>
            <w:sdt>
              <w:sdtPr>
                <w:rPr>
                  <w:rFonts w:ascii="Arial" w:hAnsi="Arial" w:cs="Arial"/>
                  <w:sz w:val="20"/>
                </w:rPr>
                <w:id w:val="240985108"/>
                <w14:checkbox>
                  <w14:checked w14:val="1"/>
                  <w14:checkedState w14:val="2612" w14:font="MS Gothic"/>
                  <w14:uncheckedState w14:val="2610" w14:font="MS Gothic"/>
                </w14:checkbox>
              </w:sdtPr>
              <w:sdtEndPr>
                <w:rPr>
                  <w:rFonts w:ascii="Arial" w:hAnsi="Arial" w:cs="Arial"/>
                  <w:sz w:val="20"/>
                </w:rPr>
              </w:sdtEndPr>
              <w:sdtContent>
                <w:r>
                  <w:rPr>
                    <w:rFonts w:ascii="MS Gothic" w:hAnsi="MS Gothic" w:eastAsia="MS Gothic" w:cs="Segoe UI Symbol"/>
                    <w:sz w:val="20"/>
                    <w:szCs w:val="20"/>
                    <w:lang w:val="en-GB" w:eastAsia="en-GB" w:bidi="ar-SA"/>
                  </w:rPr>
                  <w:t>☒</w:t>
                </w:r>
              </w:sdtContent>
            </w:sdt>
          </w:p>
        </w:tc>
      </w:tr>
      <w:tr w14:paraId="1659262C">
        <w:trPr>
          <w:trHeight w:val="216" w:hRule="atLeast"/>
        </w:trPr>
        <w:tc>
          <w:tcPr>
            <w:tcW w:w="8958" w:type="dxa"/>
            <w:gridSpan w:val="2"/>
            <w:shd w:val="clear" w:color="auto" w:fill="C00000"/>
          </w:tcPr>
          <w:p w14:paraId="018DA032">
            <w:pPr>
              <w:spacing w:before="120"/>
              <w:rPr>
                <w:rFonts w:ascii="Arial" w:hAnsi="Arial" w:cs="Arial"/>
                <w:b/>
                <w:i/>
                <w:color w:val="FFFFFF" w:themeColor="background1"/>
                <w:sz w:val="20"/>
                <w:szCs w:val="20"/>
                <w14:textFill>
                  <w14:solidFill>
                    <w14:schemeClr w14:val="bg1"/>
                  </w14:solidFill>
                </w14:textFill>
              </w:rPr>
            </w:pPr>
            <w:r>
              <w:rPr>
                <w:rFonts w:ascii="Arial" w:hAnsi="Arial" w:cs="Arial"/>
                <w:b/>
                <w:i/>
                <w:color w:val="FFFFFF" w:themeColor="background1"/>
                <w:sz w:val="20"/>
                <w:szCs w:val="20"/>
                <w14:textFill>
                  <w14:solidFill>
                    <w14:schemeClr w14:val="bg1"/>
                  </w14:solidFill>
                </w14:textFill>
              </w:rPr>
              <w:t xml:space="preserve">Vulnerability Details  </w:t>
            </w:r>
          </w:p>
          <w:p w14:paraId="3147461A">
            <w:pPr>
              <w:spacing w:before="120"/>
              <w:rPr>
                <w:rFonts w:ascii="Arial" w:hAnsi="Arial" w:cs="Arial"/>
                <w:b/>
                <w:i/>
                <w:color w:val="FFFFFF" w:themeColor="background1"/>
                <w:sz w:val="20"/>
                <w:szCs w:val="20"/>
                <w14:textFill>
                  <w14:solidFill>
                    <w14:schemeClr w14:val="bg1"/>
                  </w14:solidFill>
                </w14:textFill>
              </w:rPr>
            </w:pPr>
            <w:r>
              <w:rPr>
                <w:rFonts w:ascii="Arial" w:hAnsi="Arial" w:cs="Arial"/>
                <w:b/>
                <w:i/>
                <w:color w:val="FFFFFF" w:themeColor="background1"/>
                <w:sz w:val="20"/>
                <w:szCs w:val="20"/>
                <w14:textFill>
                  <w14:solidFill>
                    <w14:schemeClr w14:val="bg1"/>
                  </w14:solidFill>
                </w14:textFill>
              </w:rPr>
              <w:t>(All below are mandatory fields)</w:t>
            </w:r>
          </w:p>
        </w:tc>
      </w:tr>
      <w:tr w14:paraId="0456F0BB">
        <w:trPr>
          <w:trHeight w:val="507" w:hRule="atLeast"/>
        </w:trPr>
        <w:tc>
          <w:tcPr>
            <w:tcW w:w="8958" w:type="dxa"/>
            <w:gridSpan w:val="2"/>
            <w:shd w:val="clear" w:color="auto" w:fill="C00000"/>
          </w:tcPr>
          <w:p w14:paraId="751A12FA">
            <w:pPr>
              <w:spacing w:before="120"/>
              <w:rPr>
                <w:rFonts w:ascii="Arial" w:hAnsi="Arial" w:cs="Arial"/>
                <w:color w:val="FFFFFF" w:themeColor="background1"/>
                <w:sz w:val="20"/>
                <w:szCs w:val="20"/>
                <w14:textFill>
                  <w14:solidFill>
                    <w14:schemeClr w14:val="bg1"/>
                  </w14:solidFill>
                </w14:textFill>
              </w:rPr>
            </w:pPr>
            <w:r>
              <w:rPr>
                <w:rFonts w:ascii="Arial" w:hAnsi="Arial" w:cs="Arial"/>
                <w:color w:val="FFFFFF" w:themeColor="background1"/>
                <w:sz w:val="20"/>
                <w:szCs w:val="20"/>
                <w14:textFill>
                  <w14:solidFill>
                    <w14:schemeClr w14:val="bg1"/>
                  </w14:solidFill>
                </w14:textFill>
              </w:rPr>
              <w:t>Title of Vulnerability</w:t>
            </w:r>
          </w:p>
        </w:tc>
      </w:tr>
      <w:tr w14:paraId="2A8E414D">
        <w:tc>
          <w:tcPr>
            <w:tcW w:w="8958" w:type="dxa"/>
            <w:gridSpan w:val="2"/>
            <w:shd w:val="clear" w:color="auto" w:fill="auto"/>
          </w:tcPr>
          <w:p w14:paraId="165DE105">
            <w:pPr>
              <w:spacing w:before="120"/>
              <w:rPr>
                <w:rFonts w:ascii="Arial" w:hAnsi="Arial" w:cs="Arial"/>
                <w:color w:val="FFFFFF" w:themeColor="background1"/>
                <w:sz w:val="20"/>
                <w:szCs w:val="20"/>
                <w14:textFill>
                  <w14:solidFill>
                    <w14:schemeClr w14:val="bg1"/>
                  </w14:solidFill>
                </w14:textFill>
              </w:rPr>
            </w:pPr>
            <w:r>
              <w:rPr>
                <w:rFonts w:hint="eastAsia" w:ascii="Arial" w:hAnsi="Arial" w:cs="Arial"/>
                <w:sz w:val="20"/>
                <w:szCs w:val="20"/>
              </w:rPr>
              <w:t>GUTI Reuse in EPSFB</w:t>
            </w:r>
          </w:p>
        </w:tc>
      </w:tr>
      <w:tr w14:paraId="0084BBF2">
        <w:tc>
          <w:tcPr>
            <w:tcW w:w="8958" w:type="dxa"/>
            <w:gridSpan w:val="2"/>
            <w:shd w:val="clear" w:color="auto" w:fill="C00000"/>
          </w:tcPr>
          <w:p w14:paraId="2E6C0190">
            <w:pPr>
              <w:spacing w:before="120"/>
              <w:rPr>
                <w:rFonts w:ascii="Arial" w:hAnsi="Arial" w:cs="Arial"/>
                <w:color w:val="FFFFFF" w:themeColor="background1"/>
                <w:sz w:val="20"/>
                <w:szCs w:val="20"/>
                <w14:textFill>
                  <w14:solidFill>
                    <w14:schemeClr w14:val="bg1"/>
                  </w14:solidFill>
                </w14:textFill>
              </w:rPr>
            </w:pPr>
            <w:r>
              <w:rPr>
                <w:rFonts w:ascii="Arial" w:hAnsi="Arial" w:cs="Arial"/>
                <w:color w:val="FFFFFF" w:themeColor="background1"/>
                <w:sz w:val="20"/>
                <w:szCs w:val="20"/>
                <w14:textFill>
                  <w14:solidFill>
                    <w14:schemeClr w14:val="bg1"/>
                  </w14:solidFill>
                </w14:textFill>
              </w:rPr>
              <w:t>Description of Vulnerability</w:t>
            </w:r>
          </w:p>
        </w:tc>
      </w:tr>
      <w:tr w14:paraId="29B22200">
        <w:tc>
          <w:tcPr>
            <w:tcW w:w="8958" w:type="dxa"/>
            <w:gridSpan w:val="2"/>
          </w:tcPr>
          <w:p w14:paraId="6C652B14">
            <w:pPr>
              <w:spacing w:before="120"/>
              <w:rPr>
                <w:rFonts w:hint="default" w:ascii="Arial" w:hAnsi="Arial" w:eastAsia="宋体" w:cs="Arial"/>
                <w:sz w:val="20"/>
                <w:szCs w:val="20"/>
                <w:lang w:val="en-US" w:eastAsia="zh-CN"/>
              </w:rPr>
            </w:pPr>
            <w:r>
              <w:rPr>
                <w:rFonts w:hint="eastAsia" w:ascii="Arial" w:hAnsi="Arial" w:eastAsia="宋体" w:cs="Arial"/>
                <w:sz w:val="20"/>
                <w:szCs w:val="20"/>
                <w:lang w:val="en-US" w:eastAsia="zh-CN"/>
              </w:rPr>
              <w:t xml:space="preserve">The UE triggers the EPSFB procedure to use VoLTE when receiving a voice call in 5G. However, EPSFB identifies the subscriber using the same GUTI for both 4G and 5G session. Specifically, the UE falls back to the LTE network and performs the </w:t>
            </w:r>
            <w:r>
              <w:rPr>
                <w:rFonts w:hint="default" w:ascii="Arial Italic" w:hAnsi="Arial Italic" w:eastAsia="宋体" w:cs="Arial Italic"/>
                <w:i/>
                <w:iCs/>
                <w:sz w:val="20"/>
                <w:szCs w:val="20"/>
                <w:lang w:val="en-US" w:eastAsia="zh-CN"/>
              </w:rPr>
              <w:t>Tracking Area Update</w:t>
            </w:r>
            <w:r>
              <w:rPr>
                <w:rFonts w:hint="eastAsia" w:ascii="Arial" w:hAnsi="Arial" w:eastAsia="宋体" w:cs="Arial"/>
                <w:sz w:val="20"/>
                <w:szCs w:val="20"/>
                <w:lang w:val="en-US" w:eastAsia="zh-CN"/>
              </w:rPr>
              <w:t xml:space="preserve"> procedure, where the </w:t>
            </w:r>
            <w:r>
              <w:rPr>
                <w:rFonts w:hint="default" w:ascii="Arial Italic" w:hAnsi="Arial Italic" w:eastAsia="宋体" w:cs="Arial Italic"/>
                <w:i/>
                <w:iCs/>
                <w:sz w:val="20"/>
                <w:szCs w:val="20"/>
                <w:lang w:val="en-US" w:eastAsia="zh-CN"/>
              </w:rPr>
              <w:t>Tracking area update request</w:t>
            </w:r>
            <w:r>
              <w:rPr>
                <w:rFonts w:hint="eastAsia" w:ascii="Arial" w:hAnsi="Arial" w:eastAsia="宋体" w:cs="Arial"/>
                <w:sz w:val="20"/>
                <w:szCs w:val="20"/>
                <w:lang w:val="en-US" w:eastAsia="zh-CN"/>
              </w:rPr>
              <w:t xml:space="preserve"> contains TMSI as part of the GUTI. When the voice call hangs up, the UE resumes the 5G session where the </w:t>
            </w:r>
            <w:r>
              <w:rPr>
                <w:rFonts w:hint="default" w:ascii="Arial Italic" w:hAnsi="Arial Italic" w:eastAsia="宋体" w:cs="Arial Italic"/>
                <w:i/>
                <w:iCs/>
                <w:sz w:val="20"/>
                <w:szCs w:val="20"/>
                <w:lang w:val="en-US" w:eastAsia="zh-CN"/>
              </w:rPr>
              <w:t>Registration request</w:t>
            </w:r>
            <w:r>
              <w:rPr>
                <w:rFonts w:hint="eastAsia" w:ascii="Arial" w:hAnsi="Arial" w:eastAsia="宋体" w:cs="Arial"/>
                <w:sz w:val="20"/>
                <w:szCs w:val="20"/>
                <w:lang w:val="en-US" w:eastAsia="zh-CN"/>
              </w:rPr>
              <w:t xml:space="preserve"> reuses the TMSI in the </w:t>
            </w:r>
            <w:r>
              <w:rPr>
                <w:rFonts w:hint="default" w:ascii="Arial Italic" w:hAnsi="Arial Italic" w:eastAsia="宋体" w:cs="Arial Italic"/>
                <w:i/>
                <w:iCs/>
                <w:sz w:val="20"/>
                <w:szCs w:val="20"/>
                <w:lang w:val="en-US" w:eastAsia="zh-CN"/>
              </w:rPr>
              <w:t>5GS mobile  identity - Additional GUTI</w:t>
            </w:r>
            <w:r>
              <w:rPr>
                <w:rFonts w:hint="eastAsia" w:ascii="Arial" w:hAnsi="Arial" w:eastAsia="宋体" w:cs="Arial"/>
                <w:sz w:val="20"/>
                <w:szCs w:val="20"/>
                <w:lang w:val="en-US" w:eastAsia="zh-CN"/>
              </w:rPr>
              <w:t>. The above scenario results in the reuse of the GUTI, which maps temporary identifiers between the 5GC and the EPC</w:t>
            </w:r>
            <w:r>
              <w:rPr>
                <w:rFonts w:hint="default" w:ascii="Arial" w:hAnsi="Arial" w:eastAsia="宋体" w:cs="Arial"/>
                <w:sz w:val="20"/>
                <w:szCs w:val="20"/>
                <w:lang w:val="en-US" w:eastAsia="zh-CN"/>
              </w:rPr>
              <w:t>.</w:t>
            </w:r>
          </w:p>
        </w:tc>
      </w:tr>
      <w:tr w14:paraId="070D5310">
        <w:tc>
          <w:tcPr>
            <w:tcW w:w="3256" w:type="dxa"/>
            <w:shd w:val="clear" w:color="auto" w:fill="C00000"/>
          </w:tcPr>
          <w:p w14:paraId="31CF14BF">
            <w:pPr>
              <w:spacing w:before="120"/>
              <w:rPr>
                <w:rFonts w:ascii="Arial" w:hAnsi="Arial" w:cs="Arial"/>
                <w:color w:val="FFFFFF" w:themeColor="background1"/>
                <w:sz w:val="20"/>
                <w:szCs w:val="20"/>
                <w14:textFill>
                  <w14:solidFill>
                    <w14:schemeClr w14:val="bg1"/>
                  </w14:solidFill>
                </w14:textFill>
              </w:rPr>
            </w:pPr>
            <w:r>
              <w:rPr>
                <w:rFonts w:ascii="Arial" w:hAnsi="Arial" w:cs="Arial"/>
                <w:color w:val="FFFFFF" w:themeColor="background1"/>
                <w:sz w:val="20"/>
                <w:szCs w:val="20"/>
                <w14:textFill>
                  <w14:solidFill>
                    <w14:schemeClr w14:val="bg1"/>
                  </w14:solidFill>
                </w14:textFill>
              </w:rPr>
              <w:t>Product or Service Name</w:t>
            </w:r>
          </w:p>
        </w:tc>
        <w:tc>
          <w:tcPr>
            <w:tcW w:w="5702" w:type="dxa"/>
          </w:tcPr>
          <w:p w14:paraId="25FF7170">
            <w:pPr>
              <w:spacing w:before="120"/>
              <w:rPr>
                <w:rFonts w:hint="default" w:ascii="Arial" w:hAnsi="Arial" w:eastAsia="宋体" w:cs="Arial"/>
                <w:sz w:val="20"/>
                <w:szCs w:val="20"/>
                <w:lang w:val="en-US" w:eastAsia="zh-CN"/>
              </w:rPr>
            </w:pPr>
            <w:r>
              <w:rPr>
                <w:rFonts w:hint="default" w:ascii="Arial" w:hAnsi="Arial" w:eastAsia="宋体" w:cs="Arial"/>
                <w:sz w:val="20"/>
                <w:szCs w:val="20"/>
                <w:lang w:val="en-US" w:eastAsia="zh-CN"/>
              </w:rPr>
              <w:t>EPS Fallback</w:t>
            </w:r>
          </w:p>
        </w:tc>
      </w:tr>
      <w:tr w14:paraId="762934A7">
        <w:tc>
          <w:tcPr>
            <w:tcW w:w="3256" w:type="dxa"/>
            <w:shd w:val="clear" w:color="auto" w:fill="C00000"/>
          </w:tcPr>
          <w:p w14:paraId="253832CE">
            <w:pPr>
              <w:spacing w:before="120"/>
              <w:rPr>
                <w:rFonts w:ascii="Arial" w:hAnsi="Arial" w:cs="Arial"/>
                <w:color w:val="FFFFFF" w:themeColor="background1"/>
                <w:sz w:val="20"/>
                <w:szCs w:val="20"/>
                <w14:textFill>
                  <w14:solidFill>
                    <w14:schemeClr w14:val="bg1"/>
                  </w14:solidFill>
                </w14:textFill>
              </w:rPr>
            </w:pPr>
            <w:r>
              <w:rPr>
                <w:rFonts w:ascii="Arial" w:hAnsi="Arial" w:cs="Arial"/>
                <w:color w:val="FFFFFF" w:themeColor="background1"/>
                <w:sz w:val="20"/>
                <w:szCs w:val="20"/>
                <w14:textFill>
                  <w14:solidFill>
                    <w14:schemeClr w14:val="bg1"/>
                  </w14:solidFill>
                </w14:textFill>
              </w:rPr>
              <w:t>Date Vulnerability Found</w:t>
            </w:r>
          </w:p>
        </w:tc>
        <w:tc>
          <w:tcPr>
            <w:tcW w:w="5702" w:type="dxa"/>
          </w:tcPr>
          <w:p w14:paraId="7801BFD5">
            <w:pPr>
              <w:spacing w:before="120"/>
              <w:rPr>
                <w:rFonts w:hint="default" w:ascii="Arial" w:hAnsi="Arial" w:eastAsia="宋体" w:cs="Arial"/>
                <w:sz w:val="20"/>
                <w:szCs w:val="20"/>
                <w:lang w:val="en-US" w:eastAsia="zh-CN"/>
              </w:rPr>
            </w:pPr>
            <w:r>
              <w:rPr>
                <w:rFonts w:hint="eastAsia" w:ascii="Arial" w:hAnsi="Arial" w:eastAsia="宋体" w:cs="Arial"/>
                <w:sz w:val="20"/>
                <w:szCs w:val="20"/>
                <w:lang w:val="en-US" w:eastAsia="zh-CN"/>
              </w:rPr>
              <w:t>202</w:t>
            </w:r>
            <w:r>
              <w:rPr>
                <w:rFonts w:hint="default" w:ascii="Arial" w:hAnsi="Arial" w:eastAsia="宋体" w:cs="Arial"/>
                <w:sz w:val="20"/>
                <w:szCs w:val="20"/>
                <w:lang w:val="en-US" w:eastAsia="zh-CN"/>
              </w:rPr>
              <w:t>5</w:t>
            </w:r>
            <w:r>
              <w:rPr>
                <w:rFonts w:hint="eastAsia" w:ascii="Arial" w:hAnsi="Arial" w:eastAsia="宋体" w:cs="Arial"/>
                <w:sz w:val="20"/>
                <w:szCs w:val="20"/>
                <w:lang w:val="en-US" w:eastAsia="zh-CN"/>
              </w:rPr>
              <w:t>.</w:t>
            </w:r>
            <w:r>
              <w:rPr>
                <w:rFonts w:hint="default" w:ascii="Arial" w:hAnsi="Arial" w:eastAsia="宋体" w:cs="Arial"/>
                <w:sz w:val="20"/>
                <w:szCs w:val="20"/>
                <w:lang w:val="en-US" w:eastAsia="zh-CN"/>
              </w:rPr>
              <w:t>8</w:t>
            </w:r>
            <w:r>
              <w:rPr>
                <w:rFonts w:hint="eastAsia" w:ascii="Arial" w:hAnsi="Arial" w:eastAsia="宋体" w:cs="Arial"/>
                <w:sz w:val="20"/>
                <w:szCs w:val="20"/>
                <w:lang w:val="en-US" w:eastAsia="zh-CN"/>
              </w:rPr>
              <w:t>.</w:t>
            </w:r>
            <w:r>
              <w:rPr>
                <w:rFonts w:hint="default" w:ascii="Arial" w:hAnsi="Arial" w:eastAsia="宋体" w:cs="Arial"/>
                <w:sz w:val="20"/>
                <w:szCs w:val="20"/>
                <w:lang w:val="en-US" w:eastAsia="zh-CN"/>
              </w:rPr>
              <w:t>1</w:t>
            </w:r>
          </w:p>
        </w:tc>
      </w:tr>
      <w:tr w14:paraId="2454101E">
        <w:tc>
          <w:tcPr>
            <w:tcW w:w="3256" w:type="dxa"/>
            <w:shd w:val="clear" w:color="auto" w:fill="C00000"/>
          </w:tcPr>
          <w:p w14:paraId="25D5E8A0">
            <w:pPr>
              <w:spacing w:before="120"/>
              <w:rPr>
                <w:rFonts w:ascii="Arial" w:hAnsi="Arial" w:cs="Arial"/>
                <w:color w:val="FFFFFF" w:themeColor="background1"/>
                <w:sz w:val="20"/>
                <w:szCs w:val="20"/>
                <w14:textFill>
                  <w14:solidFill>
                    <w14:schemeClr w14:val="bg1"/>
                  </w14:solidFill>
                </w14:textFill>
              </w:rPr>
            </w:pPr>
            <w:r>
              <w:rPr>
                <w:rFonts w:ascii="Arial" w:hAnsi="Arial" w:cs="Arial"/>
                <w:color w:val="FFFFFF" w:themeColor="background1"/>
                <w:sz w:val="20"/>
                <w:szCs w:val="20"/>
                <w14:textFill>
                  <w14:solidFill>
                    <w14:schemeClr w14:val="bg1"/>
                  </w14:solidFill>
                </w14:textFill>
              </w:rPr>
              <w:t>Is the Vulnerability still live</w:t>
            </w:r>
          </w:p>
        </w:tc>
        <w:tc>
          <w:tcPr>
            <w:tcW w:w="5702" w:type="dxa"/>
          </w:tcPr>
          <w:p w14:paraId="1A4A02A4">
            <w:pPr>
              <w:spacing w:before="120"/>
              <w:rPr>
                <w:rFonts w:ascii="Arial" w:hAnsi="Arial" w:cs="Arial"/>
                <w:sz w:val="20"/>
                <w:szCs w:val="20"/>
              </w:rPr>
            </w:pPr>
            <w:r>
              <w:rPr>
                <w:rFonts w:ascii="Arial" w:hAnsi="Arial" w:cs="Arial"/>
                <w:sz w:val="20"/>
                <w:szCs w:val="20"/>
              </w:rPr>
              <w:t xml:space="preserve">No </w:t>
            </w:r>
            <w:sdt>
              <w:sdtPr>
                <w:rPr>
                  <w:rFonts w:ascii="Arial" w:hAnsi="Arial" w:cs="Arial"/>
                  <w:sz w:val="20"/>
                </w:rPr>
                <w:id w:val="1931627362"/>
                <w14:checkbox>
                  <w14:checked w14:val="0"/>
                  <w14:checkedState w14:val="2612" w14:font="MS Gothic"/>
                  <w14:uncheckedState w14:val="2610" w14:font="MS Gothic"/>
                </w14:checkbox>
              </w:sdtPr>
              <w:sdtEndPr>
                <w:rPr>
                  <w:rFonts w:ascii="Arial" w:hAnsi="Arial" w:cs="Arial"/>
                  <w:sz w:val="20"/>
                </w:rPr>
              </w:sdtEndPr>
              <w:sdtContent>
                <w:r>
                  <w:rPr>
                    <w:rFonts w:ascii="MS Gothic" w:hAnsi="MS Gothic" w:eastAsia="MS Gothic" w:cs="Segoe UI Symbol"/>
                    <w:sz w:val="20"/>
                    <w:szCs w:val="20"/>
                    <w:lang w:val="en-GB" w:eastAsia="en-GB" w:bidi="ar-SA"/>
                  </w:rPr>
                  <w:t>☐</w:t>
                </w:r>
              </w:sdtContent>
            </w:sdt>
            <w:r>
              <w:rPr>
                <w:rFonts w:ascii="Arial" w:hAnsi="Arial" w:cs="Arial"/>
                <w:sz w:val="20"/>
                <w:szCs w:val="20"/>
              </w:rPr>
              <w:t xml:space="preserve">          Yes </w:t>
            </w:r>
            <w:sdt>
              <w:sdtPr>
                <w:rPr>
                  <w:rFonts w:ascii="Arial" w:hAnsi="Arial" w:cs="Arial"/>
                  <w:sz w:val="20"/>
                </w:rPr>
                <w:id w:val="1433479749"/>
                <w14:checkbox>
                  <w14:checked w14:val="1"/>
                  <w14:checkedState w14:val="2612" w14:font="MS Gothic"/>
                  <w14:uncheckedState w14:val="2610" w14:font="MS Gothic"/>
                </w14:checkbox>
              </w:sdtPr>
              <w:sdtEndPr>
                <w:rPr>
                  <w:rFonts w:ascii="Arial" w:hAnsi="Arial" w:cs="Arial"/>
                  <w:sz w:val="20"/>
                </w:rPr>
              </w:sdtEndPr>
              <w:sdtContent>
                <w:r>
                  <w:rPr>
                    <w:rFonts w:ascii="MS Gothic" w:hAnsi="MS Gothic" w:eastAsia="MS Gothic" w:cs="Segoe UI Symbol"/>
                    <w:sz w:val="20"/>
                    <w:szCs w:val="20"/>
                    <w:lang w:val="en-GB" w:eastAsia="en-GB" w:bidi="ar-SA"/>
                  </w:rPr>
                  <w:t>☒</w:t>
                </w:r>
              </w:sdtContent>
            </w:sdt>
          </w:p>
        </w:tc>
      </w:tr>
      <w:tr w14:paraId="4A1929A1">
        <w:tc>
          <w:tcPr>
            <w:tcW w:w="3256" w:type="dxa"/>
            <w:shd w:val="clear" w:color="auto" w:fill="C00000"/>
          </w:tcPr>
          <w:p w14:paraId="47FB0DC3">
            <w:pPr>
              <w:spacing w:before="120"/>
              <w:rPr>
                <w:rFonts w:ascii="Arial" w:hAnsi="Arial" w:cs="Arial"/>
                <w:color w:val="FFFFFF" w:themeColor="background1"/>
                <w:sz w:val="20"/>
                <w:szCs w:val="20"/>
                <w14:textFill>
                  <w14:solidFill>
                    <w14:schemeClr w14:val="bg1"/>
                  </w14:solidFill>
                </w14:textFill>
              </w:rPr>
            </w:pPr>
            <w:r>
              <w:rPr>
                <w:rFonts w:ascii="Arial" w:hAnsi="Arial" w:cs="Arial"/>
                <w:color w:val="FFFFFF" w:themeColor="background1"/>
                <w:sz w:val="20"/>
                <w:szCs w:val="20"/>
                <w14:textFill>
                  <w14:solidFill>
                    <w14:schemeClr w14:val="bg1"/>
                  </w14:solidFill>
                </w14:textFill>
              </w:rPr>
              <w:t>Do you believe the vulnerability is being currently exploited</w:t>
            </w:r>
          </w:p>
        </w:tc>
        <w:tc>
          <w:tcPr>
            <w:tcW w:w="5702" w:type="dxa"/>
          </w:tcPr>
          <w:p w14:paraId="054BDAE5">
            <w:pPr>
              <w:spacing w:before="120"/>
              <w:rPr>
                <w:rFonts w:ascii="Arial" w:hAnsi="Arial" w:cs="Arial"/>
                <w:sz w:val="20"/>
                <w:szCs w:val="20"/>
              </w:rPr>
            </w:pPr>
            <w:r>
              <w:rPr>
                <w:rFonts w:ascii="Arial" w:hAnsi="Arial" w:cs="Arial"/>
                <w:sz w:val="20"/>
                <w:szCs w:val="20"/>
              </w:rPr>
              <w:t xml:space="preserve">No </w:t>
            </w:r>
            <w:sdt>
              <w:sdtPr>
                <w:rPr>
                  <w:rFonts w:ascii="Arial" w:hAnsi="Arial" w:cs="Arial"/>
                  <w:sz w:val="20"/>
                </w:rPr>
                <w:id w:val="82551914"/>
                <w14:checkbox>
                  <w14:checked w14:val="1"/>
                  <w14:checkedState w14:val="2612" w14:font="MS Gothic"/>
                  <w14:uncheckedState w14:val="2610" w14:font="MS Gothic"/>
                </w14:checkbox>
              </w:sdtPr>
              <w:sdtEndPr>
                <w:rPr>
                  <w:rFonts w:ascii="Arial" w:hAnsi="Arial" w:cs="Arial"/>
                  <w:sz w:val="20"/>
                </w:rPr>
              </w:sdtEndPr>
              <w:sdtContent>
                <w:r>
                  <w:rPr>
                    <w:rFonts w:ascii="MS Gothic" w:hAnsi="MS Gothic" w:eastAsia="MS Gothic" w:cs="Segoe UI Symbol"/>
                    <w:sz w:val="20"/>
                    <w:szCs w:val="20"/>
                    <w:lang w:val="en-GB" w:eastAsia="en-GB" w:bidi="ar-SA"/>
                  </w:rPr>
                  <w:t>☒</w:t>
                </w:r>
              </w:sdtContent>
            </w:sdt>
            <w:r>
              <w:rPr>
                <w:rFonts w:ascii="Arial" w:hAnsi="Arial" w:cs="Arial"/>
                <w:sz w:val="20"/>
                <w:szCs w:val="20"/>
              </w:rPr>
              <w:t xml:space="preserve">          Yes </w:t>
            </w:r>
            <w:sdt>
              <w:sdtPr>
                <w:rPr>
                  <w:rFonts w:ascii="Arial" w:hAnsi="Arial" w:cs="Arial"/>
                  <w:sz w:val="20"/>
                </w:rPr>
                <w:id w:val="175582636"/>
                <w14:checkbox>
                  <w14:checked w14:val="0"/>
                  <w14:checkedState w14:val="2612" w14:font="MS Gothic"/>
                  <w14:uncheckedState w14:val="2610" w14:font="MS Gothic"/>
                </w14:checkbox>
              </w:sdtPr>
              <w:sdtEndPr>
                <w:rPr>
                  <w:rFonts w:ascii="Arial" w:hAnsi="Arial" w:cs="Arial"/>
                  <w:sz w:val="20"/>
                </w:rPr>
              </w:sdtEndPr>
              <w:sdtContent>
                <w:r>
                  <w:rPr>
                    <w:rFonts w:ascii="MS Gothic" w:hAnsi="MS Gothic" w:eastAsia="MS Gothic" w:cs="Segoe UI Symbol"/>
                    <w:sz w:val="20"/>
                    <w:szCs w:val="20"/>
                    <w:lang w:val="en-GB" w:eastAsia="en-GB" w:bidi="ar-SA"/>
                  </w:rPr>
                  <w:t>☐</w:t>
                </w:r>
              </w:sdtContent>
            </w:sdt>
          </w:p>
        </w:tc>
      </w:tr>
      <w:tr w14:paraId="507361A8">
        <w:tc>
          <w:tcPr>
            <w:tcW w:w="3256" w:type="dxa"/>
            <w:shd w:val="clear" w:color="auto" w:fill="C00000"/>
          </w:tcPr>
          <w:p w14:paraId="425EE64C">
            <w:pPr>
              <w:spacing w:before="120"/>
              <w:rPr>
                <w:rFonts w:ascii="Arial" w:hAnsi="Arial" w:cs="Arial"/>
                <w:color w:val="FFFFFF" w:themeColor="background1"/>
                <w:sz w:val="20"/>
                <w:szCs w:val="20"/>
                <w14:textFill>
                  <w14:solidFill>
                    <w14:schemeClr w14:val="bg1"/>
                  </w14:solidFill>
                </w14:textFill>
              </w:rPr>
            </w:pPr>
            <w:r>
              <w:rPr>
                <w:rFonts w:ascii="Arial" w:hAnsi="Arial" w:cs="Arial"/>
                <w:color w:val="FFFFFF" w:themeColor="background1"/>
                <w:sz w:val="20"/>
                <w:szCs w:val="20"/>
                <w14:textFill>
                  <w14:solidFill>
                    <w14:schemeClr w14:val="bg1"/>
                  </w14:solidFill>
                </w14:textFill>
              </w:rPr>
              <w:t>Probability of r</w:t>
            </w:r>
            <w:r>
              <w:rPr>
                <w:rFonts w:hint="default" w:ascii="Arial" w:hAnsi="Arial" w:cs="Arial"/>
                <w:color w:val="FFFFFF" w:themeColor="background1"/>
                <w:sz w:val="20"/>
                <w:szCs w:val="20"/>
                <w:lang w:val="en-US"/>
                <w14:textFill>
                  <w14:solidFill>
                    <w14:schemeClr w14:val="bg1"/>
                  </w14:solidFill>
                </w14:textFill>
              </w:rPr>
              <w:t>e</w:t>
            </w:r>
            <w:r>
              <w:rPr>
                <w:rFonts w:ascii="Arial" w:hAnsi="Arial" w:cs="Arial"/>
                <w:color w:val="FFFFFF" w:themeColor="background1"/>
                <w:sz w:val="20"/>
                <w:szCs w:val="20"/>
                <w14:textFill>
                  <w14:solidFill>
                    <w14:schemeClr w14:val="bg1"/>
                  </w14:solidFill>
                </w14:textFill>
              </w:rPr>
              <w:t>production of vulnerability</w:t>
            </w:r>
          </w:p>
        </w:tc>
        <w:tc>
          <w:tcPr>
            <w:tcW w:w="5702" w:type="dxa"/>
          </w:tcPr>
          <w:p w14:paraId="4DB5BF29">
            <w:pPr>
              <w:spacing w:before="120"/>
              <w:rPr>
                <w:rFonts w:ascii="Arial" w:hAnsi="Arial" w:cs="Arial"/>
                <w:sz w:val="20"/>
                <w:szCs w:val="20"/>
              </w:rPr>
            </w:pPr>
            <w:r>
              <w:rPr>
                <w:rFonts w:ascii="Arial" w:hAnsi="Arial" w:cs="Arial"/>
                <w:sz w:val="20"/>
                <w:szCs w:val="20"/>
              </w:rPr>
              <w:t xml:space="preserve">1 – Always </w:t>
            </w:r>
            <w:sdt>
              <w:sdtPr>
                <w:rPr>
                  <w:rFonts w:ascii="Arial" w:hAnsi="Arial" w:cs="Arial"/>
                  <w:sz w:val="20"/>
                </w:rPr>
                <w:id w:val="374832274"/>
                <w14:checkbox>
                  <w14:checked w14:val="1"/>
                  <w14:checkedState w14:val="2612" w14:font="MS Gothic"/>
                  <w14:uncheckedState w14:val="2610" w14:font="MS Gothic"/>
                </w14:checkbox>
              </w:sdtPr>
              <w:sdtEndPr>
                <w:rPr>
                  <w:rFonts w:ascii="Arial" w:hAnsi="Arial" w:cs="Arial"/>
                  <w:sz w:val="20"/>
                </w:rPr>
              </w:sdtEndPr>
              <w:sdtContent>
                <w:r>
                  <w:rPr>
                    <w:rFonts w:ascii="MS Gothic" w:hAnsi="MS Gothic" w:eastAsia="MS Gothic" w:cs="Segoe UI Symbol"/>
                    <w:sz w:val="20"/>
                    <w:szCs w:val="20"/>
                    <w:lang w:val="en-GB" w:eastAsia="en-GB" w:bidi="ar-SA"/>
                  </w:rPr>
                  <w:t>☒</w:t>
                </w:r>
              </w:sdtContent>
            </w:sdt>
            <w:r>
              <w:rPr>
                <w:rFonts w:ascii="Arial" w:hAnsi="Arial" w:cs="Arial"/>
                <w:sz w:val="20"/>
                <w:szCs w:val="20"/>
              </w:rPr>
              <w:t xml:space="preserve">    2 – Often  </w:t>
            </w:r>
            <w:sdt>
              <w:sdtPr>
                <w:rPr>
                  <w:rFonts w:ascii="Arial" w:hAnsi="Arial" w:cs="Arial"/>
                  <w:sz w:val="20"/>
                </w:rPr>
                <w:id w:val="774677370"/>
                <w14:checkbox>
                  <w14:checked w14:val="0"/>
                  <w14:checkedState w14:val="2612" w14:font="MS Gothic"/>
                  <w14:uncheckedState w14:val="2610" w14:font="MS Gothic"/>
                </w14:checkbox>
              </w:sdtPr>
              <w:sdtEndPr>
                <w:rPr>
                  <w:rFonts w:ascii="Arial" w:hAnsi="Arial" w:cs="Arial"/>
                  <w:sz w:val="20"/>
                </w:rPr>
              </w:sdtEndPr>
              <w:sdtContent>
                <w:r>
                  <w:rPr>
                    <w:rFonts w:ascii="Segoe UI Symbol" w:hAnsi="Segoe UI Symbol" w:eastAsia="MS Gothic" w:cs="Segoe UI Symbol"/>
                    <w:sz w:val="20"/>
                    <w:szCs w:val="20"/>
                  </w:rPr>
                  <w:t>☐</w:t>
                </w:r>
              </w:sdtContent>
            </w:sdt>
            <w:r>
              <w:rPr>
                <w:rFonts w:ascii="Arial" w:hAnsi="Arial" w:cs="Arial"/>
                <w:sz w:val="20"/>
                <w:szCs w:val="20"/>
              </w:rPr>
              <w:t xml:space="preserve">    3 – Rarely </w:t>
            </w:r>
            <w:sdt>
              <w:sdtPr>
                <w:rPr>
                  <w:rFonts w:ascii="Arial" w:hAnsi="Arial" w:cs="Arial"/>
                  <w:sz w:val="20"/>
                </w:rPr>
                <w:id w:val="236492467"/>
                <w14:checkbox>
                  <w14:checked w14:val="0"/>
                  <w14:checkedState w14:val="2612" w14:font="MS Gothic"/>
                  <w14:uncheckedState w14:val="2610" w14:font="MS Gothic"/>
                </w14:checkbox>
              </w:sdtPr>
              <w:sdtEndPr>
                <w:rPr>
                  <w:rFonts w:ascii="Arial" w:hAnsi="Arial" w:cs="Arial"/>
                  <w:sz w:val="20"/>
                </w:rPr>
              </w:sdtEndPr>
              <w:sdtContent>
                <w:r>
                  <w:rPr>
                    <w:rFonts w:ascii="Segoe UI Symbol" w:hAnsi="Segoe UI Symbol" w:eastAsia="MS Gothic" w:cs="Segoe UI Symbol"/>
                    <w:sz w:val="20"/>
                    <w:szCs w:val="20"/>
                  </w:rPr>
                  <w:t>☐</w:t>
                </w:r>
              </w:sdtContent>
            </w:sdt>
          </w:p>
        </w:tc>
      </w:tr>
      <w:tr w14:paraId="69B8E5D0">
        <w:tc>
          <w:tcPr>
            <w:tcW w:w="3256" w:type="dxa"/>
            <w:shd w:val="clear" w:color="auto" w:fill="C00000"/>
          </w:tcPr>
          <w:p w14:paraId="75765B18">
            <w:pPr>
              <w:spacing w:before="120"/>
              <w:rPr>
                <w:rFonts w:ascii="Arial" w:hAnsi="Arial" w:cs="Arial"/>
                <w:color w:val="FFFFFF" w:themeColor="background1"/>
                <w:sz w:val="20"/>
                <w:szCs w:val="20"/>
                <w14:textFill>
                  <w14:solidFill>
                    <w14:schemeClr w14:val="bg1"/>
                  </w14:solidFill>
                </w14:textFill>
              </w:rPr>
            </w:pPr>
            <w:r>
              <w:rPr>
                <w:rFonts w:ascii="Arial" w:hAnsi="Arial" w:cs="Arial"/>
                <w:color w:val="FFFFFF" w:themeColor="background1"/>
                <w:sz w:val="20"/>
                <w:szCs w:val="20"/>
                <w14:textFill>
                  <w14:solidFill>
                    <w14:schemeClr w14:val="bg1"/>
                  </w14:solidFill>
                </w14:textFill>
              </w:rPr>
              <w:t>Possible threat caused by the vulnerability</w:t>
            </w:r>
          </w:p>
        </w:tc>
        <w:tc>
          <w:tcPr>
            <w:tcW w:w="5702" w:type="dxa"/>
          </w:tcPr>
          <w:p w14:paraId="7F6460FD">
            <w:pPr>
              <w:numPr>
                <w:ilvl w:val="0"/>
                <w:numId w:val="1"/>
              </w:numPr>
              <w:spacing w:before="120"/>
              <w:rPr>
                <w:rFonts w:hint="eastAsia" w:ascii="Arial" w:hAnsi="Arial" w:eastAsia="宋体" w:cs="Arial"/>
                <w:sz w:val="20"/>
                <w:szCs w:val="20"/>
                <w:lang w:val="en-US" w:eastAsia="zh-CN"/>
              </w:rPr>
            </w:pPr>
            <w:r>
              <w:rPr>
                <w:rFonts w:hint="eastAsia" w:ascii="Times New Roman" w:hAnsi="Times New Roman"/>
                <w:sz w:val="21"/>
                <w:lang w:val="en-US" w:eastAsia="zh-CN"/>
              </w:rPr>
              <w:t>Attacker</w:t>
            </w:r>
            <w:r>
              <w:rPr>
                <w:rFonts w:hint="default" w:ascii="Times New Roman" w:hAnsi="Times New Roman"/>
                <w:sz w:val="21"/>
                <w:lang w:val="en-US" w:eastAsia="zh-CN"/>
              </w:rPr>
              <w:t>s</w:t>
            </w:r>
            <w:r>
              <w:rPr>
                <w:rFonts w:hint="eastAsia" w:ascii="Times New Roman" w:hAnsi="Times New Roman"/>
                <w:sz w:val="21"/>
                <w:lang w:val="en-US" w:eastAsia="zh-CN"/>
              </w:rPr>
              <w:t xml:space="preserve"> can trigger the EPSFB procedure by making a voice call to obtain the same 5G-TMSI and M-TMSI. Therefore, this can locate whether the victim is within the monitored cell.</w:t>
            </w:r>
          </w:p>
          <w:p w14:paraId="4064DEF5">
            <w:pPr>
              <w:numPr>
                <w:ilvl w:val="0"/>
                <w:numId w:val="1"/>
              </w:numPr>
              <w:spacing w:before="120"/>
              <w:rPr>
                <w:rFonts w:hint="eastAsia" w:ascii="Arial" w:hAnsi="Arial" w:eastAsia="宋体" w:cs="Arial"/>
                <w:sz w:val="20"/>
                <w:szCs w:val="20"/>
                <w:lang w:val="en-US" w:eastAsia="zh-CN"/>
              </w:rPr>
            </w:pPr>
            <w:bookmarkStart w:id="0" w:name="_GoBack"/>
            <w:bookmarkEnd w:id="0"/>
            <w:r>
              <w:rPr>
                <w:rFonts w:hint="eastAsia" w:ascii="Times New Roman" w:hAnsi="Times New Roman"/>
                <w:sz w:val="21"/>
                <w:lang w:val="en-US" w:eastAsia="zh-CN"/>
              </w:rPr>
              <w:t>Attacker</w:t>
            </w:r>
            <w:r>
              <w:rPr>
                <w:rFonts w:hint="default" w:ascii="Times New Roman" w:hAnsi="Times New Roman"/>
                <w:sz w:val="21"/>
                <w:lang w:val="en-US" w:eastAsia="zh-CN"/>
              </w:rPr>
              <w:t xml:space="preserve">s </w:t>
            </w:r>
            <w:r>
              <w:rPr>
                <w:rFonts w:hint="eastAsia" w:ascii="Times New Roman" w:hAnsi="Times New Roman"/>
                <w:sz w:val="21"/>
                <w:lang w:val="en-US" w:eastAsia="zh-CN"/>
              </w:rPr>
              <w:t>can</w:t>
            </w:r>
            <w:r>
              <w:rPr>
                <w:rFonts w:hint="default" w:ascii="Times New Roman" w:hAnsi="Times New Roman"/>
                <w:sz w:val="21"/>
                <w:lang w:val="en-US" w:eastAsia="zh-CN"/>
              </w:rPr>
              <w:t xml:space="preserve"> </w:t>
            </w:r>
            <w:r>
              <w:rPr>
                <w:rFonts w:hint="eastAsia" w:ascii="Times New Roman" w:hAnsi="Times New Roman"/>
                <w:sz w:val="21"/>
                <w:lang w:val="en-US" w:eastAsia="zh-CN"/>
              </w:rPr>
              <w:t>use C-RNTI to correlate</w:t>
            </w:r>
            <w:r>
              <w:rPr>
                <w:rFonts w:hint="default" w:ascii="Times New Roman" w:hAnsi="Times New Roman"/>
                <w:sz w:val="21"/>
                <w:lang w:val="en-US" w:eastAsia="zh-CN"/>
              </w:rPr>
              <w:t xml:space="preserve"> 4G/5G</w:t>
            </w:r>
            <w:r>
              <w:rPr>
                <w:rFonts w:hint="eastAsia" w:ascii="Times New Roman" w:hAnsi="Times New Roman"/>
                <w:sz w:val="21"/>
                <w:lang w:val="en-US" w:eastAsia="zh-CN"/>
              </w:rPr>
              <w:t xml:space="preserve"> uplink and downlink signaling for targeted victims to eavesdrop on unprotected messages</w:t>
            </w:r>
            <w:r>
              <w:rPr>
                <w:rFonts w:hint="default" w:ascii="Times New Roman" w:hAnsi="Times New Roman"/>
                <w:sz w:val="21"/>
                <w:lang w:val="en-US" w:eastAsia="zh-CN"/>
              </w:rPr>
              <w:t xml:space="preserve">. </w:t>
            </w:r>
            <w:r>
              <w:rPr>
                <w:rFonts w:hint="eastAsia" w:ascii="Times New Roman" w:hAnsi="Times New Roman"/>
                <w:sz w:val="21"/>
                <w:lang w:val="en-US" w:eastAsia="zh-CN"/>
              </w:rPr>
              <w:t>Secondly, attacker can perform side-channel analysis on victim behavior patterns</w:t>
            </w:r>
            <w:r>
              <w:rPr>
                <w:rFonts w:hint="default" w:ascii="Times New Roman" w:hAnsi="Times New Roman"/>
                <w:sz w:val="21"/>
                <w:lang w:val="en-US" w:eastAsia="zh-CN"/>
              </w:rPr>
              <w:t>.</w:t>
            </w:r>
          </w:p>
          <w:p w14:paraId="3B457734">
            <w:pPr>
              <w:numPr>
                <w:ilvl w:val="0"/>
                <w:numId w:val="1"/>
              </w:numPr>
              <w:spacing w:before="120"/>
              <w:ind w:left="0" w:leftChars="0" w:firstLine="0" w:firstLineChars="0"/>
              <w:rPr>
                <w:rFonts w:hint="eastAsia" w:ascii="Arial" w:hAnsi="Arial" w:eastAsia="宋体" w:cs="Arial"/>
                <w:sz w:val="20"/>
                <w:szCs w:val="20"/>
                <w:lang w:val="en-US" w:eastAsia="zh-CN"/>
              </w:rPr>
            </w:pPr>
            <w:r>
              <w:rPr>
                <w:rFonts w:hint="eastAsia" w:ascii="Times New Roman" w:hAnsi="Times New Roman"/>
                <w:sz w:val="21"/>
                <w:lang w:val="en-US" w:eastAsia="zh-CN"/>
              </w:rPr>
              <w:t>We propose a targeted attack method. First, the attack exploits this vulnerability to locate victims and eavesdrop on uplink and downlink signaling. Second, the attacker exploits unprotected UECapabilityInformation to identify the target victim's device mode</w:t>
            </w:r>
            <w:r>
              <w:rPr>
                <w:rFonts w:hint="default" w:ascii="Times New Roman" w:hAnsi="Times New Roman"/>
                <w:sz w:val="21"/>
                <w:lang w:val="en-US" w:eastAsia="zh-CN"/>
              </w:rPr>
              <w:t>l</w:t>
            </w:r>
            <w:r>
              <w:rPr>
                <w:rFonts w:hint="eastAsia" w:ascii="Times New Roman" w:hAnsi="Times New Roman"/>
                <w:sz w:val="21"/>
                <w:lang w:val="en-US" w:eastAsia="zh-CN"/>
              </w:rPr>
              <w:t>. The goal of this method is to provide prior knowledge. The attacker then performs further remote attacks based on known baseband chip vulnerabilities, such as supporting NIA0 and performing MitM attacks.</w:t>
            </w:r>
          </w:p>
        </w:tc>
      </w:tr>
      <w:tr w14:paraId="0710F5DD">
        <w:trPr>
          <w:trHeight w:val="566" w:hRule="atLeast"/>
        </w:trPr>
        <w:tc>
          <w:tcPr>
            <w:tcW w:w="3256" w:type="dxa"/>
            <w:shd w:val="clear" w:color="auto" w:fill="C00000"/>
          </w:tcPr>
          <w:p w14:paraId="75553D24">
            <w:pPr>
              <w:spacing w:before="120"/>
              <w:rPr>
                <w:rFonts w:ascii="Arial" w:hAnsi="Arial" w:cs="Arial"/>
                <w:color w:val="FFFFFF" w:themeColor="background1"/>
                <w:sz w:val="20"/>
                <w:szCs w:val="20"/>
                <w14:textFill>
                  <w14:solidFill>
                    <w14:schemeClr w14:val="bg1"/>
                  </w14:solidFill>
                </w14:textFill>
              </w:rPr>
            </w:pPr>
            <w:r>
              <w:rPr>
                <w:rFonts w:ascii="Arial" w:hAnsi="Arial" w:cs="Arial"/>
                <w:color w:val="FFFFFF" w:themeColor="background1"/>
                <w:sz w:val="20"/>
                <w:szCs w:val="20"/>
                <w14:textFill>
                  <w14:solidFill>
                    <w14:schemeClr w14:val="bg1"/>
                  </w14:solidFill>
                </w14:textFill>
              </w:rPr>
              <w:t>Can you provide any PoC Code, Screenshots or Http requests etc.</w:t>
            </w:r>
          </w:p>
        </w:tc>
        <w:tc>
          <w:tcPr>
            <w:tcW w:w="5702" w:type="dxa"/>
          </w:tcPr>
          <w:p w14:paraId="02A6320A">
            <w:pPr>
              <w:widowControl w:val="0"/>
              <w:numPr>
                <w:ilvl w:val="0"/>
                <w:numId w:val="0"/>
              </w:numPr>
              <w:spacing w:before="120"/>
              <w:jc w:val="both"/>
              <w:rPr>
                <w:rFonts w:hint="default" w:ascii="Times New Roman" w:hAnsi="Times New Roman"/>
                <w:sz w:val="21"/>
                <w:lang w:val="en-US" w:eastAsia="zh-CN"/>
              </w:rPr>
            </w:pPr>
            <w:r>
              <w:rPr>
                <w:rFonts w:hint="default" w:ascii="Times New Roman" w:hAnsi="Times New Roman"/>
                <w:sz w:val="21"/>
                <w:lang w:val="en-US" w:eastAsia="zh-CN"/>
              </w:rPr>
              <w:t>The key principle lies in the 5G-TMSI in the 5GS mobile identity - Additional GUTI of Registration request, which is the same as the M-TMSI in the EPS mobile identity - Old GUTI of Tracking area update request. Note that both Registration request and Tracking area update request messages are Integrity protected (1) security header type and unciphered in EPSFB procedure. By utilizing silent calls, an attacker can silently eavesdrop on the target subscriber’s signaling at the air interface.</w:t>
            </w:r>
          </w:p>
          <w:p w14:paraId="6CD55522">
            <w:pPr>
              <w:widowControl w:val="0"/>
              <w:numPr>
                <w:ilvl w:val="0"/>
                <w:numId w:val="0"/>
              </w:numPr>
              <w:spacing w:before="120"/>
              <w:jc w:val="both"/>
              <w:rPr>
                <w:rFonts w:hint="default" w:ascii="Times New Roman" w:hAnsi="Times New Roman"/>
                <w:sz w:val="21"/>
                <w:lang w:val="en-US" w:eastAsia="zh-CN"/>
              </w:rPr>
            </w:pPr>
          </w:p>
          <w:p w14:paraId="6F5C2131">
            <w:pPr>
              <w:widowControl w:val="0"/>
              <w:numPr>
                <w:ilvl w:val="0"/>
                <w:numId w:val="2"/>
              </w:numPr>
              <w:spacing w:before="120"/>
              <w:jc w:val="both"/>
              <w:rPr>
                <w:rFonts w:hint="default" w:ascii="Times New Roman Bold" w:hAnsi="Times New Roman Bold" w:cs="Times New Roman Bold"/>
                <w:b/>
                <w:bCs/>
                <w:sz w:val="21"/>
                <w:lang w:val="en-US" w:eastAsia="zh-CN"/>
              </w:rPr>
            </w:pPr>
            <w:r>
              <w:rPr>
                <w:rFonts w:hint="default" w:ascii="Times New Roman Bold" w:hAnsi="Times New Roman Bold" w:cs="Times New Roman Bold"/>
                <w:b/>
                <w:bCs/>
                <w:sz w:val="21"/>
                <w:lang w:val="en-US"/>
              </w:rPr>
              <w:t>Attack A</w:t>
            </w:r>
            <w:r>
              <w:rPr>
                <w:rFonts w:hint="default" w:ascii="Times New Roman Bold" w:hAnsi="Times New Roman Bold" w:cs="Times New Roman Bold"/>
                <w:b/>
                <w:bCs/>
                <w:sz w:val="21"/>
              </w:rPr>
              <w:t>ssumption</w:t>
            </w:r>
          </w:p>
          <w:p w14:paraId="4048ECF3">
            <w:pPr>
              <w:spacing w:before="120"/>
              <w:rPr>
                <w:rFonts w:hint="default" w:ascii="Times New Roman" w:hAnsi="Times New Roman"/>
                <w:sz w:val="21"/>
                <w:lang w:val="en-US" w:eastAsia="zh-CN"/>
              </w:rPr>
            </w:pPr>
            <w:r>
              <w:rPr>
                <w:rFonts w:hint="eastAsia" w:ascii="Times New Roman" w:hAnsi="Times New Roman"/>
                <w:sz w:val="21"/>
                <w:lang w:val="en-US" w:eastAsia="zh-CN"/>
              </w:rPr>
              <w:t xml:space="preserve">The </w:t>
            </w:r>
            <w:r>
              <w:rPr>
                <w:rFonts w:hint="eastAsia" w:ascii="Times New Roman" w:hAnsi="Times New Roman"/>
                <w:sz w:val="21"/>
              </w:rPr>
              <w:t xml:space="preserve">preconditions </w:t>
            </w:r>
            <w:r>
              <w:rPr>
                <w:rFonts w:hint="eastAsia" w:ascii="Times New Roman" w:hAnsi="Times New Roman"/>
                <w:sz w:val="21"/>
                <w:lang w:val="en-US" w:eastAsia="zh-CN"/>
              </w:rPr>
              <w:t>is as follows</w:t>
            </w:r>
            <w:r>
              <w:rPr>
                <w:rFonts w:hint="default" w:ascii="Times New Roman" w:hAnsi="Times New Roman"/>
                <w:sz w:val="21"/>
                <w:lang w:val="en-US" w:eastAsia="zh-CN"/>
              </w:rPr>
              <w:t>:</w:t>
            </w:r>
          </w:p>
          <w:p w14:paraId="0CBA61E0">
            <w:pPr>
              <w:numPr>
                <w:ilvl w:val="0"/>
                <w:numId w:val="3"/>
              </w:numPr>
              <w:spacing w:before="120"/>
              <w:rPr>
                <w:rFonts w:hint="eastAsia" w:ascii="Times New Roman" w:hAnsi="Times New Roman"/>
                <w:sz w:val="21"/>
                <w:lang w:val="en-US" w:eastAsia="zh-CN"/>
              </w:rPr>
            </w:pPr>
            <w:r>
              <w:rPr>
                <w:rFonts w:hint="eastAsia" w:ascii="Times New Roman" w:hAnsi="Times New Roman"/>
                <w:sz w:val="21"/>
                <w:lang w:val="en-US" w:eastAsia="zh-CN"/>
              </w:rPr>
              <w:t>The attacker already knows the victim's phone number and makes a voice call to trigger the EPSFB procedure.</w:t>
            </w:r>
          </w:p>
          <w:p w14:paraId="33D3B0DA">
            <w:pPr>
              <w:numPr>
                <w:ilvl w:val="0"/>
                <w:numId w:val="3"/>
              </w:numPr>
              <w:spacing w:before="120"/>
              <w:ind w:left="0" w:leftChars="0" w:firstLine="0" w:firstLineChars="0"/>
              <w:rPr>
                <w:rFonts w:hint="default" w:ascii="Times New Roman" w:hAnsi="Times New Roman"/>
                <w:sz w:val="21"/>
                <w:lang w:val="en-US" w:eastAsia="zh-CN"/>
              </w:rPr>
            </w:pPr>
            <w:r>
              <w:rPr>
                <w:rFonts w:hint="eastAsia" w:ascii="Times New Roman" w:hAnsi="Times New Roman"/>
                <w:sz w:val="21"/>
                <w:lang w:val="en-US" w:eastAsia="zh-CN"/>
              </w:rPr>
              <w:t>The attacker can eavesdrop on NR and LTE uplink and downlink signaling from the air interface within a cell.</w:t>
            </w:r>
          </w:p>
          <w:p w14:paraId="4CEE4798">
            <w:pPr>
              <w:spacing w:before="120"/>
              <w:rPr>
                <w:rFonts w:hint="eastAsia" w:ascii="Times New Roman" w:hAnsi="Times New Roman"/>
                <w:sz w:val="21"/>
              </w:rPr>
            </w:pPr>
            <w:r>
              <w:rPr>
                <w:rFonts w:hint="default" w:ascii="Times New Roman" w:hAnsi="Times New Roman"/>
                <w:sz w:val="21"/>
                <w:lang w:val="en-US" w:eastAsia="zh-CN"/>
              </w:rPr>
              <w:t xml:space="preserve">Note that the attacker makes silent calls to trigger the EPSFB procedure, which means hanging up before the victim’s phone rings to avoid alerting victim. Therefore, attacker  can silently extract the target </w:t>
            </w:r>
            <w:r>
              <w:rPr>
                <w:rFonts w:hint="eastAsia" w:ascii="Times New Roman" w:hAnsi="Times New Roman"/>
                <w:sz w:val="21"/>
                <w:lang w:val="en-US" w:eastAsia="zh-CN"/>
              </w:rPr>
              <w:t xml:space="preserve">victim's </w:t>
            </w:r>
            <w:r>
              <w:rPr>
                <w:rFonts w:hint="default" w:ascii="Times New Roman" w:hAnsi="Times New Roman"/>
                <w:sz w:val="21"/>
                <w:lang w:val="en-US" w:eastAsia="zh-CN"/>
              </w:rPr>
              <w:t>signaling traces</w:t>
            </w:r>
          </w:p>
          <w:p w14:paraId="30357CE2">
            <w:pPr>
              <w:widowControl w:val="0"/>
              <w:numPr>
                <w:ilvl w:val="0"/>
                <w:numId w:val="0"/>
              </w:numPr>
              <w:spacing w:before="120" w:after="160" w:line="259" w:lineRule="auto"/>
              <w:jc w:val="both"/>
              <w:rPr>
                <w:rFonts w:hint="default" w:ascii="Times New Roman Bold" w:hAnsi="Times New Roman Bold" w:cs="Times New Roman Bold"/>
                <w:b/>
                <w:bCs/>
                <w:sz w:val="21"/>
                <w:lang w:val="en-US" w:eastAsia="zh-CN"/>
              </w:rPr>
            </w:pPr>
          </w:p>
          <w:p w14:paraId="29A4BB77">
            <w:pPr>
              <w:widowControl w:val="0"/>
              <w:numPr>
                <w:ilvl w:val="0"/>
                <w:numId w:val="2"/>
              </w:numPr>
              <w:spacing w:before="120"/>
              <w:jc w:val="both"/>
              <w:rPr>
                <w:rFonts w:hint="default" w:ascii="Times New Roman Bold" w:hAnsi="Times New Roman Bold" w:cs="Times New Roman Bold"/>
                <w:b/>
                <w:bCs/>
                <w:sz w:val="21"/>
                <w:lang w:val="en-US" w:eastAsia="zh-CN"/>
              </w:rPr>
            </w:pPr>
            <w:r>
              <w:rPr>
                <w:rFonts w:hint="default" w:ascii="Times New Roman Bold" w:hAnsi="Times New Roman Bold" w:cs="Times New Roman Bold"/>
                <w:b/>
                <w:bCs/>
                <w:sz w:val="21"/>
                <w:lang w:val="en-US" w:eastAsia="zh-CN"/>
              </w:rPr>
              <w:t>Attack procedure</w:t>
            </w:r>
          </w:p>
          <w:p w14:paraId="4C2ECCB6">
            <w:pPr>
              <w:widowControl w:val="0"/>
              <w:numPr>
                <w:ilvl w:val="0"/>
                <w:numId w:val="4"/>
              </w:numPr>
              <w:spacing w:before="120"/>
              <w:jc w:val="both"/>
              <w:rPr>
                <w:rFonts w:hint="default" w:ascii="Times New Roman" w:hAnsi="Times New Roman"/>
                <w:sz w:val="21"/>
                <w:lang w:val="en-US" w:eastAsia="zh-CN"/>
              </w:rPr>
            </w:pPr>
            <w:r>
              <w:rPr>
                <w:rFonts w:hint="default" w:ascii="Times New Roman" w:hAnsi="Times New Roman"/>
                <w:sz w:val="21"/>
                <w:lang w:val="en-US" w:eastAsia="zh-CN"/>
              </w:rPr>
              <w:t>The attacker knows the victim's phone number and makes a call. The victim's UE downgrades to LTE network and sends Tracking area update request. The security header type of the message is “Integrity protected (1)”. Therefore, these IEs is plaintext and leaks the M-TMSI in EPS mobile identity - Old GUTI. As shown in the figure:</w:t>
            </w:r>
          </w:p>
          <w:p w14:paraId="66AC7135">
            <w:pPr>
              <w:widowControl w:val="0"/>
              <w:numPr>
                <w:ilvl w:val="0"/>
                <w:numId w:val="0"/>
              </w:numPr>
              <w:spacing w:before="120"/>
              <w:jc w:val="center"/>
            </w:pPr>
            <w:r>
              <w:drawing>
                <wp:inline distT="0" distB="0" distL="114300" distR="114300">
                  <wp:extent cx="4764405" cy="2974340"/>
                  <wp:effectExtent l="0" t="0" r="10795" b="228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4764405" cy="2974340"/>
                          </a:xfrm>
                          <a:prstGeom prst="rect">
                            <a:avLst/>
                          </a:prstGeom>
                          <a:noFill/>
                          <a:ln>
                            <a:noFill/>
                          </a:ln>
                        </pic:spPr>
                      </pic:pic>
                    </a:graphicData>
                  </a:graphic>
                </wp:inline>
              </w:drawing>
            </w:r>
          </w:p>
          <w:p w14:paraId="1ED5C6B6">
            <w:pPr>
              <w:widowControl w:val="0"/>
              <w:numPr>
                <w:ilvl w:val="0"/>
                <w:numId w:val="0"/>
              </w:numPr>
              <w:spacing w:before="120"/>
              <w:jc w:val="both"/>
              <w:rPr>
                <w:rFonts w:hint="eastAsia" w:ascii="Times New Roman" w:hAnsi="Times New Roman"/>
                <w:sz w:val="21"/>
                <w:lang w:val="en-US" w:eastAsia="zh-CN"/>
              </w:rPr>
            </w:pPr>
          </w:p>
          <w:p w14:paraId="0F6A548D">
            <w:pPr>
              <w:widowControl w:val="0"/>
              <w:numPr>
                <w:ilvl w:val="0"/>
                <w:numId w:val="4"/>
              </w:numPr>
              <w:spacing w:before="120"/>
              <w:ind w:left="0" w:leftChars="0" w:firstLine="0" w:firstLineChars="0"/>
              <w:jc w:val="both"/>
              <w:rPr>
                <w:rFonts w:hint="default" w:ascii="Times New Roman" w:hAnsi="Times New Roman"/>
                <w:sz w:val="21"/>
                <w:lang w:val="en-US" w:eastAsia="zh-CN"/>
              </w:rPr>
            </w:pPr>
            <w:r>
              <w:rPr>
                <w:rFonts w:hint="eastAsia" w:ascii="Times New Roman" w:hAnsi="Times New Roman"/>
                <w:sz w:val="21"/>
                <w:lang w:val="en-US" w:eastAsia="zh-CN"/>
              </w:rPr>
              <w:t xml:space="preserve">The attacker hangs up. The victim UE resumes to 5G network and sends Register request. The security header type of the message is also </w:t>
            </w:r>
            <w:r>
              <w:rPr>
                <w:rFonts w:hint="default" w:ascii="Times New Roman" w:hAnsi="Times New Roman"/>
                <w:sz w:val="21"/>
                <w:lang w:val="en-US" w:eastAsia="zh-CN"/>
              </w:rPr>
              <w:t>“</w:t>
            </w:r>
            <w:r>
              <w:rPr>
                <w:rFonts w:hint="eastAsia" w:ascii="Times New Roman" w:hAnsi="Times New Roman"/>
                <w:sz w:val="21"/>
                <w:lang w:val="en-US" w:eastAsia="zh-CN"/>
              </w:rPr>
              <w:t>Integrity protected (1)</w:t>
            </w:r>
            <w:r>
              <w:rPr>
                <w:rFonts w:hint="default" w:ascii="Times New Roman" w:hAnsi="Times New Roman"/>
                <w:sz w:val="21"/>
                <w:lang w:val="en-US" w:eastAsia="zh-CN"/>
              </w:rPr>
              <w:t>”</w:t>
            </w:r>
            <w:r>
              <w:rPr>
                <w:rFonts w:hint="eastAsia" w:ascii="Times New Roman" w:hAnsi="Times New Roman"/>
                <w:sz w:val="21"/>
                <w:lang w:val="en-US" w:eastAsia="zh-CN"/>
              </w:rPr>
              <w:t xml:space="preserve">. Therefore, </w:t>
            </w:r>
            <w:r>
              <w:rPr>
                <w:rFonts w:hint="default" w:ascii="Times New Roman" w:hAnsi="Times New Roman"/>
                <w:sz w:val="21"/>
                <w:lang w:val="en-US" w:eastAsia="zh-CN"/>
              </w:rPr>
              <w:t xml:space="preserve">these </w:t>
            </w:r>
            <w:r>
              <w:rPr>
                <w:rFonts w:hint="eastAsia" w:ascii="Times New Roman" w:hAnsi="Times New Roman"/>
                <w:sz w:val="21"/>
                <w:lang w:val="en-US" w:eastAsia="zh-CN"/>
              </w:rPr>
              <w:t>IE</w:t>
            </w:r>
            <w:r>
              <w:rPr>
                <w:rFonts w:hint="default" w:ascii="Times New Roman" w:hAnsi="Times New Roman"/>
                <w:sz w:val="21"/>
                <w:lang w:val="en-US" w:eastAsia="zh-CN"/>
              </w:rPr>
              <w:t>s</w:t>
            </w:r>
            <w:r>
              <w:rPr>
                <w:rFonts w:hint="eastAsia" w:ascii="Times New Roman" w:hAnsi="Times New Roman"/>
                <w:sz w:val="21"/>
                <w:lang w:val="en-US" w:eastAsia="zh-CN"/>
              </w:rPr>
              <w:t xml:space="preserve"> is plaintext and leaks 5G-TMSI in 5GS mobile identity - Additional GUTI. As shown in the figure:</w:t>
            </w:r>
          </w:p>
          <w:p w14:paraId="2D3DDFA9">
            <w:pPr>
              <w:widowControl w:val="0"/>
              <w:numPr>
                <w:ilvl w:val="0"/>
                <w:numId w:val="0"/>
              </w:numPr>
              <w:spacing w:before="120"/>
              <w:jc w:val="center"/>
            </w:pPr>
            <w:r>
              <w:drawing>
                <wp:inline distT="0" distB="0" distL="114300" distR="114300">
                  <wp:extent cx="4690110" cy="2928620"/>
                  <wp:effectExtent l="0" t="0" r="8890" b="177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4690110" cy="2928620"/>
                          </a:xfrm>
                          <a:prstGeom prst="rect">
                            <a:avLst/>
                          </a:prstGeom>
                          <a:noFill/>
                          <a:ln>
                            <a:noFill/>
                          </a:ln>
                        </pic:spPr>
                      </pic:pic>
                    </a:graphicData>
                  </a:graphic>
                </wp:inline>
              </w:drawing>
            </w:r>
          </w:p>
          <w:p w14:paraId="48A66E18">
            <w:pPr>
              <w:widowControl w:val="0"/>
              <w:numPr>
                <w:ilvl w:val="0"/>
                <w:numId w:val="0"/>
              </w:numPr>
              <w:spacing w:before="120"/>
              <w:jc w:val="both"/>
              <w:rPr>
                <w:rFonts w:hint="eastAsia" w:ascii="Times New Roman" w:hAnsi="Times New Roman"/>
                <w:sz w:val="21"/>
                <w:lang w:val="en-US" w:eastAsia="zh-CN"/>
              </w:rPr>
            </w:pPr>
          </w:p>
          <w:p w14:paraId="6263617C">
            <w:pPr>
              <w:widowControl w:val="0"/>
              <w:numPr>
                <w:ilvl w:val="0"/>
                <w:numId w:val="4"/>
              </w:numPr>
              <w:spacing w:before="120"/>
              <w:ind w:left="0" w:leftChars="0" w:firstLine="0" w:firstLineChars="0"/>
              <w:jc w:val="both"/>
              <w:rPr>
                <w:rFonts w:hint="default" w:ascii="Times New Roman" w:hAnsi="Times New Roman"/>
                <w:sz w:val="21"/>
                <w:lang w:val="en-US" w:eastAsia="zh-CN"/>
              </w:rPr>
            </w:pPr>
            <w:r>
              <w:rPr>
                <w:rFonts w:hint="eastAsia" w:ascii="Times New Roman" w:hAnsi="Times New Roman"/>
                <w:sz w:val="21"/>
                <w:lang w:val="en-US" w:eastAsia="zh-CN"/>
              </w:rPr>
              <w:t>The M-TMSI and 5G-TMSI are the same.  associating signaling traces with call timestamps and TMSI. If a 4G to5G handover sequence exists and is close to the voice call timestamp or handover timestamp, the attacker can locate users within a certain area by TMSI</w:t>
            </w:r>
          </w:p>
          <w:p w14:paraId="736C1EB1">
            <w:pPr>
              <w:widowControl w:val="0"/>
              <w:numPr>
                <w:ilvl w:val="0"/>
                <w:numId w:val="0"/>
              </w:numPr>
              <w:spacing w:before="120"/>
              <w:jc w:val="both"/>
              <w:rPr>
                <w:rFonts w:hint="default" w:ascii="Times New Roman" w:hAnsi="Times New Roman"/>
                <w:sz w:val="21"/>
                <w:lang w:val="en-US" w:eastAsia="zh-CN"/>
              </w:rPr>
            </w:pPr>
          </w:p>
          <w:p w14:paraId="0A7A90D7">
            <w:pPr>
              <w:widowControl w:val="0"/>
              <w:numPr>
                <w:ilvl w:val="0"/>
                <w:numId w:val="2"/>
              </w:numPr>
              <w:spacing w:before="120"/>
              <w:ind w:left="0" w:leftChars="0" w:firstLine="0" w:firstLineChars="0"/>
              <w:jc w:val="both"/>
              <w:rPr>
                <w:rFonts w:hint="eastAsia" w:ascii="Times New Roman" w:hAnsi="Times New Roman"/>
                <w:b/>
                <w:bCs/>
                <w:sz w:val="21"/>
                <w:lang w:val="en-US" w:eastAsia="zh-CN"/>
              </w:rPr>
            </w:pPr>
            <w:r>
              <w:rPr>
                <w:rFonts w:hint="eastAsia" w:ascii="Times New Roman" w:hAnsi="Times New Roman"/>
                <w:b/>
                <w:bCs/>
                <w:sz w:val="21"/>
                <w:lang w:val="en-US" w:eastAsia="zh-CN"/>
              </w:rPr>
              <w:t>3GPP Specification Reference</w:t>
            </w:r>
          </w:p>
          <w:p w14:paraId="2D50B1E8">
            <w:pPr>
              <w:widowControl w:val="0"/>
              <w:numPr>
                <w:ilvl w:val="0"/>
                <w:numId w:val="0"/>
              </w:numPr>
              <w:spacing w:before="120"/>
              <w:jc w:val="both"/>
              <w:rPr>
                <w:rFonts w:hint="default" w:ascii="Times New Roman" w:hAnsi="Times New Roman"/>
                <w:sz w:val="21"/>
                <w:lang w:val="en-US" w:eastAsia="zh-CN"/>
              </w:rPr>
            </w:pPr>
            <w:r>
              <w:rPr>
                <w:rFonts w:hint="eastAsia" w:ascii="Times New Roman" w:hAnsi="Times New Roman"/>
                <w:sz w:val="21"/>
                <w:lang w:val="en-US" w:eastAsia="zh-CN"/>
              </w:rPr>
              <w:t>I found the definition of Additional GUTI in the 3GPP specification. Therefore, I consider that there may be a design flaw for 3GPP specification. The description are as follows</w:t>
            </w:r>
            <w:r>
              <w:rPr>
                <w:rFonts w:hint="default" w:ascii="Times New Roman" w:hAnsi="Times New Roman"/>
                <w:sz w:val="21"/>
                <w:lang w:val="en-US" w:eastAsia="zh-CN"/>
              </w:rPr>
              <w:t>:</w:t>
            </w:r>
          </w:p>
          <w:p w14:paraId="37343527">
            <w:pPr>
              <w:widowControl w:val="0"/>
              <w:numPr>
                <w:ilvl w:val="0"/>
                <w:numId w:val="0"/>
              </w:numPr>
              <w:spacing w:before="120"/>
              <w:jc w:val="both"/>
              <w:rPr>
                <w:rFonts w:hint="default" w:ascii="Times New Roman" w:hAnsi="Times New Roman"/>
                <w:sz w:val="21"/>
                <w:lang w:val="en-US" w:eastAsia="zh-CN"/>
              </w:rPr>
            </w:pPr>
          </w:p>
          <w:p w14:paraId="0550948E">
            <w:pPr>
              <w:widowControl w:val="0"/>
              <w:numPr>
                <w:ilvl w:val="0"/>
                <w:numId w:val="5"/>
              </w:numPr>
              <w:spacing w:before="120"/>
              <w:jc w:val="both"/>
              <w:rPr>
                <w:rFonts w:hint="eastAsia" w:ascii="Times New Roman" w:hAnsi="Times New Roman"/>
                <w:sz w:val="21"/>
                <w:lang w:val="en-US" w:eastAsia="zh-CN"/>
              </w:rPr>
            </w:pPr>
            <w:r>
              <w:rPr>
                <w:rFonts w:hint="eastAsia" w:ascii="Times New Roman" w:hAnsi="Times New Roman"/>
                <w:sz w:val="21"/>
                <w:lang w:val="en-US" w:eastAsia="zh-CN"/>
              </w:rPr>
              <w:t>3GPP 24.501 1.Clause 8.2.6.12 describes that Additional GUTI should be included when UE holds two valid native 5G-GUTI.</w:t>
            </w:r>
            <w:r>
              <w:rPr>
                <w:rFonts w:hint="default" w:ascii="Times New Roman" w:hAnsi="Times New Roman"/>
                <w:sz w:val="21"/>
                <w:lang w:val="en-US" w:eastAsia="zh-CN"/>
              </w:rPr>
              <w:t xml:space="preserve"> </w:t>
            </w:r>
            <w:r>
              <w:rPr>
                <w:rFonts w:hint="eastAsia" w:ascii="Times New Roman" w:hAnsi="Times New Roman"/>
                <w:i w:val="0"/>
                <w:iCs w:val="0"/>
                <w:sz w:val="21"/>
                <w:lang w:val="en-US" w:eastAsia="zh-CN"/>
              </w:rPr>
              <w:t>The description are as follows</w:t>
            </w:r>
            <w:r>
              <w:rPr>
                <w:rFonts w:hint="default" w:ascii="Times New Roman" w:hAnsi="Times New Roman"/>
                <w:i w:val="0"/>
                <w:iCs w:val="0"/>
                <w:sz w:val="21"/>
                <w:lang w:val="en-US" w:eastAsia="zh-CN"/>
              </w:rPr>
              <w:t>:</w:t>
            </w:r>
          </w:p>
          <w:p w14:paraId="240090A4">
            <w:pPr>
              <w:widowControl w:val="0"/>
              <w:numPr>
                <w:ilvl w:val="0"/>
                <w:numId w:val="0"/>
              </w:numPr>
              <w:spacing w:before="120"/>
              <w:jc w:val="both"/>
              <w:rPr>
                <w:rFonts w:hint="default" w:ascii="Times New Roman Italic" w:hAnsi="Times New Roman Italic" w:cs="Times New Roman Italic"/>
                <w:i/>
                <w:iCs/>
                <w:sz w:val="21"/>
                <w:lang w:val="en-US" w:eastAsia="zh-CN"/>
              </w:rPr>
            </w:pPr>
            <w:r>
              <w:rPr>
                <w:rFonts w:hint="default" w:ascii="Times New Roman Italic" w:hAnsi="Times New Roman Italic" w:cs="Times New Roman Italic"/>
                <w:i/>
                <w:iCs/>
                <w:sz w:val="21"/>
                <w:lang w:val="en-US" w:eastAsia="zh-CN"/>
              </w:rPr>
              <w:t>8.2.6.12 Additional GUTI</w:t>
            </w:r>
          </w:p>
          <w:p w14:paraId="67BE2237">
            <w:pPr>
              <w:widowControl w:val="0"/>
              <w:numPr>
                <w:ilvl w:val="0"/>
                <w:numId w:val="0"/>
              </w:numPr>
              <w:spacing w:before="120"/>
              <w:jc w:val="both"/>
              <w:rPr>
                <w:rFonts w:hint="default" w:ascii="Times New Roman Italic" w:hAnsi="Times New Roman Italic" w:cs="Times New Roman Italic"/>
                <w:i/>
                <w:iCs/>
                <w:sz w:val="21"/>
                <w:lang w:val="en-US" w:eastAsia="zh-CN"/>
              </w:rPr>
            </w:pPr>
            <w:r>
              <w:rPr>
                <w:rFonts w:hint="default" w:ascii="Times New Roman Italic" w:hAnsi="Times New Roman Italic" w:cs="Times New Roman Italic"/>
                <w:i/>
                <w:iCs/>
                <w:sz w:val="21"/>
                <w:lang w:val="en-US" w:eastAsia="zh-CN"/>
              </w:rPr>
              <w:t>This IE shall be included:</w:t>
            </w:r>
          </w:p>
          <w:p w14:paraId="03ABE718">
            <w:pPr>
              <w:keepNext w:val="0"/>
              <w:keepLines w:val="0"/>
              <w:pageBreakBefore w:val="0"/>
              <w:widowControl w:val="0"/>
              <w:numPr>
                <w:ilvl w:val="0"/>
                <w:numId w:val="6"/>
              </w:numPr>
              <w:kinsoku/>
              <w:wordWrap/>
              <w:overflowPunct/>
              <w:topLinePunct w:val="0"/>
              <w:autoSpaceDE/>
              <w:autoSpaceDN/>
              <w:bidi w:val="0"/>
              <w:adjustRightInd/>
              <w:snapToGrid/>
              <w:spacing w:before="120"/>
              <w:ind w:left="210" w:leftChars="0" w:hanging="210" w:hangingChars="100"/>
              <w:jc w:val="both"/>
              <w:textAlignment w:val="auto"/>
              <w:rPr>
                <w:rFonts w:hint="default" w:ascii="Times New Roman Italic" w:hAnsi="Times New Roman Italic" w:cs="Times New Roman Italic"/>
                <w:i/>
                <w:iCs/>
                <w:sz w:val="21"/>
                <w:lang w:val="en-US" w:eastAsia="zh-CN"/>
              </w:rPr>
            </w:pPr>
            <w:r>
              <w:rPr>
                <w:rFonts w:hint="default" w:ascii="Times New Roman Italic" w:hAnsi="Times New Roman Italic" w:cs="Times New Roman Italic"/>
                <w:i/>
                <w:iCs/>
                <w:sz w:val="21"/>
                <w:lang w:val="en-US" w:eastAsia="zh-CN"/>
              </w:rPr>
              <w:t xml:space="preserve">if the UE performs the registration procedure due to inter-system change from S1 mode to N1 mode, the UE operates in single-registration mode and the UE has a valid 5G-GUTI; or  </w:t>
            </w:r>
          </w:p>
          <w:p w14:paraId="23F51A20">
            <w:pPr>
              <w:keepNext w:val="0"/>
              <w:keepLines w:val="0"/>
              <w:pageBreakBefore w:val="0"/>
              <w:widowControl w:val="0"/>
              <w:numPr>
                <w:ilvl w:val="0"/>
                <w:numId w:val="6"/>
              </w:numPr>
              <w:kinsoku/>
              <w:wordWrap/>
              <w:overflowPunct/>
              <w:topLinePunct w:val="0"/>
              <w:autoSpaceDE/>
              <w:autoSpaceDN/>
              <w:bidi w:val="0"/>
              <w:adjustRightInd/>
              <w:snapToGrid/>
              <w:spacing w:before="120"/>
              <w:ind w:left="210" w:leftChars="0" w:hanging="210" w:hangingChars="100"/>
              <w:jc w:val="both"/>
              <w:textAlignment w:val="auto"/>
              <w:rPr>
                <w:rFonts w:hint="default" w:ascii="Times New Roman Italic" w:hAnsi="Times New Roman Italic" w:cs="Times New Roman Italic"/>
                <w:i/>
                <w:iCs/>
                <w:sz w:val="21"/>
                <w:lang w:val="en-US" w:eastAsia="zh-CN"/>
              </w:rPr>
            </w:pPr>
            <w:r>
              <w:rPr>
                <w:rFonts w:hint="default" w:ascii="Times New Roman Italic" w:hAnsi="Times New Roman Italic" w:cs="Times New Roman Italic"/>
                <w:i/>
                <w:iCs/>
                <w:sz w:val="21"/>
                <w:lang w:val="en-US" w:eastAsia="zh-CN"/>
              </w:rPr>
              <w:t>the UE holds two valid native 5G-GUTIs and one of the valid native 5G-GUTI was assigned by the PLMN with which the UE is performing the registration.</w:t>
            </w:r>
          </w:p>
          <w:p w14:paraId="62C1D544">
            <w:pPr>
              <w:keepNext w:val="0"/>
              <w:keepLines w:val="0"/>
              <w:pageBreakBefore w:val="0"/>
              <w:widowControl w:val="0"/>
              <w:numPr>
                <w:ilvl w:val="0"/>
                <w:numId w:val="0"/>
              </w:numPr>
              <w:kinsoku/>
              <w:wordWrap/>
              <w:overflowPunct/>
              <w:topLinePunct w:val="0"/>
              <w:autoSpaceDE/>
              <w:autoSpaceDN/>
              <w:bidi w:val="0"/>
              <w:adjustRightInd/>
              <w:snapToGrid/>
              <w:spacing w:before="120"/>
              <w:jc w:val="both"/>
              <w:textAlignment w:val="auto"/>
              <w:rPr>
                <w:rFonts w:hint="default" w:ascii="Times New Roman" w:hAnsi="Times New Roman" w:cs="Times New Roman"/>
                <w:i w:val="0"/>
                <w:iCs w:val="0"/>
                <w:sz w:val="21"/>
                <w:lang w:val="en-US" w:eastAsia="zh-CN"/>
              </w:rPr>
            </w:pPr>
          </w:p>
          <w:p w14:paraId="43707AE6">
            <w:pPr>
              <w:keepNext w:val="0"/>
              <w:keepLines w:val="0"/>
              <w:pageBreakBefore w:val="0"/>
              <w:widowControl w:val="0"/>
              <w:numPr>
                <w:ilvl w:val="0"/>
                <w:numId w:val="5"/>
              </w:numPr>
              <w:kinsoku/>
              <w:wordWrap/>
              <w:overflowPunct/>
              <w:topLinePunct w:val="0"/>
              <w:autoSpaceDE/>
              <w:autoSpaceDN/>
              <w:bidi w:val="0"/>
              <w:adjustRightInd/>
              <w:snapToGrid/>
              <w:spacing w:before="120"/>
              <w:ind w:left="0" w:leftChars="0" w:firstLine="0" w:firstLineChars="0"/>
              <w:jc w:val="both"/>
              <w:textAlignment w:val="auto"/>
              <w:rPr>
                <w:rFonts w:hint="default" w:ascii="Times New Roman" w:hAnsi="Times New Roman" w:cs="Times New Roman"/>
                <w:i w:val="0"/>
                <w:iCs w:val="0"/>
                <w:sz w:val="21"/>
                <w:lang w:val="en-US" w:eastAsia="zh-CN"/>
              </w:rPr>
            </w:pPr>
            <w:r>
              <w:rPr>
                <w:rFonts w:hint="eastAsia" w:ascii="Times New Roman" w:hAnsi="Times New Roman"/>
                <w:i w:val="0"/>
                <w:iCs w:val="0"/>
                <w:sz w:val="21"/>
                <w:lang w:val="en-US" w:eastAsia="zh-CN"/>
              </w:rPr>
              <w:t xml:space="preserve">3GPP </w:t>
            </w:r>
            <w:r>
              <w:rPr>
                <w:rFonts w:hint="default" w:ascii="Times New Roman" w:hAnsi="Times New Roman"/>
                <w:i w:val="0"/>
                <w:iCs w:val="0"/>
                <w:sz w:val="21"/>
                <w:lang w:val="en-US" w:eastAsia="zh-CN"/>
              </w:rPr>
              <w:t xml:space="preserve">23.501 Clause 5.17.2.2.2 </w:t>
            </w:r>
            <w:r>
              <w:rPr>
                <w:rFonts w:hint="eastAsia" w:ascii="Times New Roman" w:hAnsi="Times New Roman"/>
                <w:i w:val="0"/>
                <w:iCs w:val="0"/>
                <w:sz w:val="21"/>
                <w:lang w:val="en-US" w:eastAsia="zh-CN"/>
              </w:rPr>
              <w:t>describes</w:t>
            </w:r>
            <w:r>
              <w:rPr>
                <w:rFonts w:hint="default" w:ascii="Times New Roman" w:hAnsi="Times New Roman"/>
                <w:i w:val="0"/>
                <w:iCs w:val="0"/>
                <w:sz w:val="21"/>
                <w:lang w:val="en-US" w:eastAsia="zh-CN"/>
              </w:rPr>
              <w:t xml:space="preserve"> that </w:t>
            </w:r>
            <w:r>
              <w:rPr>
                <w:rFonts w:hint="eastAsia" w:ascii="Times New Roman" w:hAnsi="Times New Roman"/>
                <w:i w:val="0"/>
                <w:iCs w:val="0"/>
                <w:sz w:val="21"/>
                <w:lang w:val="en-US" w:eastAsia="zh-CN"/>
              </w:rPr>
              <w:t>the UE includes the native 5G-GUTI as an additional GUTI in the Registration request</w:t>
            </w:r>
            <w:r>
              <w:rPr>
                <w:rFonts w:hint="default" w:ascii="Times New Roman Italic" w:hAnsi="Times New Roman Italic" w:cs="Times New Roman Italic"/>
                <w:i w:val="0"/>
                <w:iCs w:val="0"/>
                <w:sz w:val="21"/>
                <w:lang w:val="en-US" w:eastAsia="zh-CN"/>
              </w:rPr>
              <w:t xml:space="preserve"> </w:t>
            </w:r>
            <w:r>
              <w:rPr>
                <w:rFonts w:hint="default" w:ascii="Times New Roman" w:hAnsi="Times New Roman" w:cs="Times New Roman"/>
                <w:i w:val="0"/>
                <w:iCs w:val="0"/>
                <w:sz w:val="21"/>
                <w:u w:val="none"/>
                <w:lang w:val="en-US" w:eastAsia="zh-CN"/>
              </w:rPr>
              <w:t>from EPC to 5GC</w:t>
            </w:r>
            <w:r>
              <w:rPr>
                <w:rFonts w:hint="default" w:ascii="Times New Roman Italic" w:hAnsi="Times New Roman Italic" w:cs="Times New Roman Italic"/>
                <w:i w:val="0"/>
                <w:iCs w:val="0"/>
                <w:sz w:val="21"/>
                <w:lang w:val="en-US" w:eastAsia="zh-CN"/>
              </w:rPr>
              <w:t xml:space="preserve">. </w:t>
            </w:r>
            <w:r>
              <w:rPr>
                <w:rFonts w:hint="eastAsia" w:ascii="Times New Roman" w:hAnsi="Times New Roman"/>
                <w:i w:val="0"/>
                <w:iCs w:val="0"/>
                <w:sz w:val="21"/>
                <w:lang w:val="en-US" w:eastAsia="zh-CN"/>
              </w:rPr>
              <w:t>The description are as follows</w:t>
            </w:r>
            <w:r>
              <w:rPr>
                <w:rFonts w:hint="default" w:ascii="Times New Roman" w:hAnsi="Times New Roman"/>
                <w:i w:val="0"/>
                <w:iCs w:val="0"/>
                <w:sz w:val="21"/>
                <w:lang w:val="en-US" w:eastAsia="zh-CN"/>
              </w:rPr>
              <w:t>:</w:t>
            </w:r>
          </w:p>
          <w:p w14:paraId="3D94EBFC">
            <w:pPr>
              <w:keepNext w:val="0"/>
              <w:keepLines w:val="0"/>
              <w:pageBreakBefore w:val="0"/>
              <w:widowControl w:val="0"/>
              <w:numPr>
                <w:ilvl w:val="0"/>
                <w:numId w:val="0"/>
              </w:numPr>
              <w:kinsoku/>
              <w:wordWrap/>
              <w:overflowPunct/>
              <w:topLinePunct w:val="0"/>
              <w:autoSpaceDE/>
              <w:autoSpaceDN/>
              <w:bidi w:val="0"/>
              <w:adjustRightInd/>
              <w:snapToGrid/>
              <w:spacing w:before="120"/>
              <w:jc w:val="both"/>
              <w:textAlignment w:val="auto"/>
              <w:rPr>
                <w:rFonts w:hint="default" w:ascii="Times New Roman Italic" w:hAnsi="Times New Roman Italic" w:cs="Times New Roman Italic"/>
                <w:i/>
                <w:iCs/>
                <w:sz w:val="21"/>
                <w:lang w:val="en-US" w:eastAsia="zh-CN"/>
              </w:rPr>
            </w:pPr>
            <w:r>
              <w:rPr>
                <w:rFonts w:hint="default" w:ascii="Times New Roman Italic" w:hAnsi="Times New Roman Italic" w:cs="Times New Roman Italic"/>
                <w:i/>
                <w:iCs/>
                <w:sz w:val="21"/>
                <w:lang w:val="en-US" w:eastAsia="zh-CN"/>
              </w:rPr>
              <w:t xml:space="preserve">For both idle mode and connected mode mobility from EPC to 5GC: </w:t>
            </w:r>
          </w:p>
          <w:p w14:paraId="31743D81">
            <w:pPr>
              <w:keepNext w:val="0"/>
              <w:keepLines w:val="0"/>
              <w:pageBreakBefore w:val="0"/>
              <w:widowControl w:val="0"/>
              <w:numPr>
                <w:ilvl w:val="0"/>
                <w:numId w:val="0"/>
              </w:numPr>
              <w:kinsoku/>
              <w:wordWrap/>
              <w:overflowPunct/>
              <w:topLinePunct w:val="0"/>
              <w:autoSpaceDE/>
              <w:autoSpaceDN/>
              <w:bidi w:val="0"/>
              <w:adjustRightInd/>
              <w:snapToGrid/>
              <w:spacing w:before="120"/>
              <w:ind w:left="210" w:hanging="210" w:hangingChars="100"/>
              <w:jc w:val="both"/>
              <w:textAlignment w:val="auto"/>
              <w:rPr>
                <w:rFonts w:hint="default" w:ascii="Times New Roman Italic" w:hAnsi="Times New Roman Italic" w:cs="Times New Roman Italic"/>
                <w:i/>
                <w:iCs/>
                <w:sz w:val="21"/>
                <w:lang w:val="en-US" w:eastAsia="zh-CN"/>
              </w:rPr>
            </w:pPr>
            <w:r>
              <w:rPr>
                <w:rFonts w:hint="default" w:ascii="Times New Roman Italic" w:hAnsi="Times New Roman Italic" w:cs="Times New Roman Italic"/>
                <w:i/>
                <w:iCs/>
                <w:sz w:val="21"/>
                <w:lang w:val="en-US" w:eastAsia="zh-CN"/>
              </w:rPr>
              <w:t>- The UE includes the native 5G-GUTI as an additional GUTI in the Registration request; the AMF uses the native 5G-GUTI to retrieve MM context identified by the 5G-GUTI from old AMF or from UDSF (if UDSF is deployed and the old AMF is within the same AMF set).</w:t>
            </w:r>
          </w:p>
          <w:p w14:paraId="48AB1008">
            <w:pPr>
              <w:spacing w:before="120"/>
              <w:rPr>
                <w:rFonts w:hint="default"/>
                <w:lang w:val="en-US" w:eastAsia="zh-CN"/>
              </w:rPr>
            </w:pPr>
          </w:p>
        </w:tc>
      </w:tr>
      <w:tr w14:paraId="7A279634">
        <w:trPr>
          <w:trHeight w:val="566" w:hRule="atLeast"/>
        </w:trPr>
        <w:tc>
          <w:tcPr>
            <w:tcW w:w="3256" w:type="dxa"/>
            <w:shd w:val="clear" w:color="auto" w:fill="C00000"/>
          </w:tcPr>
          <w:p w14:paraId="30B4E100">
            <w:pPr>
              <w:spacing w:before="120"/>
              <w:rPr>
                <w:rFonts w:ascii="Arial" w:hAnsi="Arial" w:cs="Arial"/>
                <w:color w:val="FFFFFF" w:themeColor="background1"/>
                <w:sz w:val="20"/>
                <w:szCs w:val="20"/>
                <w14:textFill>
                  <w14:solidFill>
                    <w14:schemeClr w14:val="bg1"/>
                  </w14:solidFill>
                </w14:textFill>
              </w:rPr>
            </w:pPr>
            <w:r>
              <w:rPr>
                <w:rFonts w:ascii="Arial" w:hAnsi="Arial" w:cs="Arial"/>
                <w:color w:val="FFFFFF" w:themeColor="background1"/>
                <w:sz w:val="20"/>
                <w:szCs w:val="20"/>
                <w14:textFill>
                  <w14:solidFill>
                    <w14:schemeClr w14:val="bg1"/>
                  </w14:solidFill>
                </w14:textFill>
              </w:rPr>
              <w:t>Do you intend to let us review the vulnerability before going public</w:t>
            </w:r>
          </w:p>
        </w:tc>
        <w:tc>
          <w:tcPr>
            <w:tcW w:w="5702" w:type="dxa"/>
          </w:tcPr>
          <w:p w14:paraId="26287BF1">
            <w:pPr>
              <w:spacing w:before="120"/>
              <w:rPr>
                <w:rFonts w:ascii="Arial" w:hAnsi="Arial" w:cs="Arial"/>
                <w:sz w:val="20"/>
                <w:szCs w:val="20"/>
              </w:rPr>
            </w:pPr>
            <w:r>
              <w:rPr>
                <w:rFonts w:ascii="Arial" w:hAnsi="Arial" w:cs="Arial"/>
                <w:sz w:val="20"/>
                <w:szCs w:val="20"/>
              </w:rPr>
              <w:t xml:space="preserve">No </w:t>
            </w:r>
            <w:sdt>
              <w:sdtPr>
                <w:rPr>
                  <w:rFonts w:ascii="Arial" w:hAnsi="Arial" w:cs="Arial"/>
                  <w:sz w:val="20"/>
                </w:rPr>
                <w:id w:val="1917668830"/>
                <w14:checkbox>
                  <w14:checked w14:val="0"/>
                  <w14:checkedState w14:val="2612" w14:font="MS Gothic"/>
                  <w14:uncheckedState w14:val="2610" w14:font="MS Gothic"/>
                </w14:checkbox>
              </w:sdtPr>
              <w:sdtEndPr>
                <w:rPr>
                  <w:rFonts w:ascii="Arial" w:hAnsi="Arial" w:cs="Arial"/>
                  <w:sz w:val="20"/>
                </w:rPr>
              </w:sdtEndPr>
              <w:sdtContent>
                <w:r>
                  <w:rPr>
                    <w:rFonts w:ascii="MS Gothic" w:hAnsi="MS Gothic" w:eastAsia="MS Gothic" w:cs="Segoe UI Symbol"/>
                    <w:sz w:val="20"/>
                    <w:szCs w:val="20"/>
                    <w:lang w:val="en-GB" w:eastAsia="en-GB" w:bidi="ar-SA"/>
                  </w:rPr>
                  <w:t>☐</w:t>
                </w:r>
              </w:sdtContent>
            </w:sdt>
            <w:r>
              <w:rPr>
                <w:rFonts w:ascii="Arial" w:hAnsi="Arial" w:cs="Arial"/>
                <w:sz w:val="20"/>
                <w:szCs w:val="20"/>
              </w:rPr>
              <w:t xml:space="preserve">          Yes </w:t>
            </w:r>
            <w:sdt>
              <w:sdtPr>
                <w:rPr>
                  <w:rFonts w:ascii="Arial" w:hAnsi="Arial" w:cs="Arial"/>
                  <w:sz w:val="20"/>
                </w:rPr>
                <w:id w:val="529640850"/>
                <w14:checkbox>
                  <w14:checked w14:val="1"/>
                  <w14:checkedState w14:val="2612" w14:font="MS Gothic"/>
                  <w14:uncheckedState w14:val="2610" w14:font="MS Gothic"/>
                </w14:checkbox>
              </w:sdtPr>
              <w:sdtEndPr>
                <w:rPr>
                  <w:rFonts w:ascii="Arial" w:hAnsi="Arial" w:cs="Arial"/>
                  <w:sz w:val="20"/>
                </w:rPr>
              </w:sdtEndPr>
              <w:sdtContent>
                <w:r>
                  <w:rPr>
                    <w:rFonts w:ascii="MS Gothic" w:hAnsi="MS Gothic" w:eastAsia="MS Gothic" w:cs="Segoe UI Symbol"/>
                    <w:sz w:val="20"/>
                    <w:szCs w:val="20"/>
                    <w:lang w:val="en-GB" w:eastAsia="en-GB" w:bidi="ar-SA"/>
                  </w:rPr>
                  <w:t>☒</w:t>
                </w:r>
              </w:sdtContent>
            </w:sdt>
          </w:p>
        </w:tc>
      </w:tr>
      <w:tr w14:paraId="3EFFAF7F">
        <w:trPr>
          <w:trHeight w:val="566" w:hRule="atLeast"/>
        </w:trPr>
        <w:tc>
          <w:tcPr>
            <w:tcW w:w="3256" w:type="dxa"/>
            <w:shd w:val="clear" w:color="auto" w:fill="C00000"/>
          </w:tcPr>
          <w:p w14:paraId="5BBA37EF">
            <w:pPr>
              <w:spacing w:before="120"/>
              <w:rPr>
                <w:rFonts w:ascii="Arial" w:hAnsi="Arial" w:cs="Arial"/>
                <w:color w:val="FFFFFF" w:themeColor="background1"/>
                <w:sz w:val="20"/>
                <w:szCs w:val="20"/>
                <w14:textFill>
                  <w14:solidFill>
                    <w14:schemeClr w14:val="bg1"/>
                  </w14:solidFill>
                </w14:textFill>
              </w:rPr>
            </w:pPr>
            <w:r>
              <w:rPr>
                <w:rFonts w:ascii="Arial" w:hAnsi="Arial" w:cs="Arial"/>
                <w:color w:val="FFFFFF" w:themeColor="background1"/>
                <w:sz w:val="20"/>
                <w:szCs w:val="20"/>
                <w14:textFill>
                  <w14:solidFill>
                    <w14:schemeClr w14:val="bg1"/>
                  </w14:solidFill>
                </w14:textFill>
              </w:rPr>
              <w:t>To what other organisation(s) has the vulnerability been reported?</w:t>
            </w:r>
          </w:p>
        </w:tc>
        <w:tc>
          <w:tcPr>
            <w:tcW w:w="5702" w:type="dxa"/>
          </w:tcPr>
          <w:p w14:paraId="1200AD29">
            <w:pPr>
              <w:spacing w:before="120"/>
              <w:rPr>
                <w:rFonts w:hint="default" w:ascii="Arial" w:hAnsi="Arial" w:eastAsia="宋体" w:cs="Arial"/>
                <w:sz w:val="20"/>
                <w:szCs w:val="20"/>
                <w:lang w:val="en-US" w:eastAsia="zh-CN"/>
              </w:rPr>
            </w:pPr>
            <w:r>
              <w:rPr>
                <w:rFonts w:hint="default" w:ascii="Arial" w:hAnsi="Arial" w:eastAsia="宋体" w:cs="Arial"/>
                <w:sz w:val="20"/>
                <w:szCs w:val="20"/>
                <w:lang w:val="en-US" w:eastAsia="zh-CN"/>
              </w:rPr>
              <w:t>No</w:t>
            </w:r>
          </w:p>
        </w:tc>
      </w:tr>
    </w:tbl>
    <w:p w14:paraId="7E8A9C32">
      <w:pPr>
        <w:rPr>
          <w:rFonts w:ascii="Arial" w:hAnsi="Arial" w:cs="Arial"/>
        </w:rPr>
      </w:pPr>
    </w:p>
    <w:sectPr>
      <w:pgSz w:w="11900" w:h="16840"/>
      <w:pgMar w:top="1440" w:right="144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MS Gothic">
    <w:altName w:val="冬青黑体简体中文"/>
    <w:panose1 w:val="020B0609070205080204"/>
    <w:charset w:val="80"/>
    <w:family w:val="modern"/>
    <w:pitch w:val="default"/>
    <w:sig w:usb0="00000000" w:usb1="00000000" w:usb2="08000012" w:usb3="00000000" w:csb0="0002009F" w:csb1="00000000"/>
  </w:font>
  <w:font w:name="Segoe UI Symbol">
    <w:altName w:val="苹方-简"/>
    <w:panose1 w:val="020B0502040204020203"/>
    <w:charset w:val="00"/>
    <w:family w:val="swiss"/>
    <w:pitch w:val="default"/>
    <w:sig w:usb0="00000000" w:usb1="00000000" w:usb2="00040000" w:usb3="00000000" w:csb0="00000001" w:csb1="00000000"/>
  </w:font>
  <w:font w:name="Arial Italic">
    <w:panose1 w:val="020B0604020202090204"/>
    <w:charset w:val="00"/>
    <w:family w:val="auto"/>
    <w:pitch w:val="default"/>
    <w:sig w:usb0="E0000AFF" w:usb1="00007843" w:usb2="00000001" w:usb3="00000000" w:csb0="400001BF" w:csb1="DFF70000"/>
  </w:font>
  <w:font w:name="Times New Roman Bold">
    <w:panose1 w:val="02020503050405090304"/>
    <w:charset w:val="00"/>
    <w:family w:val="auto"/>
    <w:pitch w:val="default"/>
    <w:sig w:usb0="E0000AFF" w:usb1="00007843" w:usb2="00000001" w:usb3="00000000" w:csb0="400001BF" w:csb1="DFF70000"/>
  </w:font>
  <w:font w:name="Times New Roman Italic">
    <w:panose1 w:val="02020503050405090304"/>
    <w:charset w:val="00"/>
    <w:family w:val="auto"/>
    <w:pitch w:val="default"/>
    <w:sig w:usb0="E0000AFF" w:usb1="00007843" w:usb2="00000001" w:usb3="00000000" w:csb0="400001BF" w:csb1="DFF70000"/>
  </w:font>
  <w:font w:name="汉仪书宋二KW">
    <w:panose1 w:val="00020600040101010101"/>
    <w:charset w:val="86"/>
    <w:family w:val="auto"/>
    <w:pitch w:val="default"/>
    <w:sig w:usb0="A00002BF" w:usb1="18EF7CFA" w:usb2="00000016" w:usb3="00000000" w:csb0="00040000" w:csb1="00000000"/>
  </w:font>
  <w:font w:name="冬青黑体简体中文">
    <w:panose1 w:val="020B0300000000000000"/>
    <w:charset w:val="86"/>
    <w:family w:val="auto"/>
    <w:pitch w:val="default"/>
    <w:sig w:usb0="A00002BF" w:usb1="1ACF7CFA" w:usb2="00000016" w:usb3="00000000" w:csb0="00060007" w:csb1="00000000"/>
  </w:font>
  <w:font w:name="Arial Unicode MS">
    <w:panose1 w:val="020B0604020202020204"/>
    <w:charset w:val="86"/>
    <w:family w:val="auto"/>
    <w:pitch w:val="default"/>
    <w:sig w:usb0="FFFFFFFF" w:usb1="E9FFFFFF" w:usb2="0000003F" w:usb3="00000000" w:csb0="603F01FF" w:csb1="FFFF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宋体-简">
    <w:panose1 w:val="02010800040101010101"/>
    <w:charset w:val="86"/>
    <w:family w:val="auto"/>
    <w:pitch w:val="default"/>
    <w:sig w:usb0="00000001" w:usb1="080F0000" w:usb2="0000000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F5F5D4A"/>
    <w:multiLevelType w:val="singleLevel"/>
    <w:tmpl w:val="BF5F5D4A"/>
    <w:lvl w:ilvl="0" w:tentative="0">
      <w:start w:val="1"/>
      <w:numFmt w:val="decimal"/>
      <w:suff w:val="space"/>
      <w:lvlText w:val="(%1)"/>
      <w:lvlJc w:val="left"/>
    </w:lvl>
  </w:abstractNum>
  <w:abstractNum w:abstractNumId="1">
    <w:nsid w:val="EFEE4951"/>
    <w:multiLevelType w:val="singleLevel"/>
    <w:tmpl w:val="EFEE4951"/>
    <w:lvl w:ilvl="0" w:tentative="0">
      <w:start w:val="1"/>
      <w:numFmt w:val="decimal"/>
      <w:suff w:val="space"/>
      <w:lvlText w:val="%1."/>
      <w:lvlJc w:val="left"/>
    </w:lvl>
  </w:abstractNum>
  <w:abstractNum w:abstractNumId="2">
    <w:nsid w:val="FAB6EA31"/>
    <w:multiLevelType w:val="singleLevel"/>
    <w:tmpl w:val="FAB6EA31"/>
    <w:lvl w:ilvl="0" w:tentative="0">
      <w:start w:val="1"/>
      <w:numFmt w:val="decimal"/>
      <w:suff w:val="space"/>
      <w:lvlText w:val="(%1)"/>
      <w:lvlJc w:val="left"/>
    </w:lvl>
  </w:abstractNum>
  <w:abstractNum w:abstractNumId="3">
    <w:nsid w:val="FF773647"/>
    <w:multiLevelType w:val="singleLevel"/>
    <w:tmpl w:val="FF773647"/>
    <w:lvl w:ilvl="0" w:tentative="0">
      <w:start w:val="1"/>
      <w:numFmt w:val="decimal"/>
      <w:suff w:val="space"/>
      <w:lvlText w:val="%1."/>
      <w:lvlJc w:val="left"/>
    </w:lvl>
  </w:abstractNum>
  <w:abstractNum w:abstractNumId="4">
    <w:nsid w:val="3BD26460"/>
    <w:multiLevelType w:val="singleLevel"/>
    <w:tmpl w:val="3BD26460"/>
    <w:lvl w:ilvl="0" w:tentative="0">
      <w:start w:val="1"/>
      <w:numFmt w:val="decimal"/>
      <w:suff w:val="space"/>
      <w:lvlText w:val="(%1)"/>
      <w:lvlJc w:val="left"/>
    </w:lvl>
  </w:abstractNum>
  <w:abstractNum w:abstractNumId="5">
    <w:nsid w:val="75AFDC9D"/>
    <w:multiLevelType w:val="singleLevel"/>
    <w:tmpl w:val="75AFDC9D"/>
    <w:lvl w:ilvl="0" w:tentative="0">
      <w:start w:val="1"/>
      <w:numFmt w:val="lowerLetter"/>
      <w:suff w:val="space"/>
      <w:lvlText w:val="%1)"/>
      <w:lvlJc w:val="left"/>
      <w:pPr>
        <w:ind w:left="3780"/>
      </w:pPr>
    </w:lvl>
  </w:abstractNum>
  <w:num w:numId="1">
    <w:abstractNumId w:val="3"/>
  </w:num>
  <w:num w:numId="2">
    <w:abstractNumId w:val="1"/>
  </w:num>
  <w:num w:numId="3">
    <w:abstractNumId w:val="2"/>
  </w:num>
  <w:num w:numId="4">
    <w:abstractNumId w:val="0"/>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6"/>
  <w:bordersDoNotSurroundHeader w:val="0"/>
  <w:bordersDoNotSurroundFooter w:val="0"/>
  <w:documentProtection w:enforcement="0"/>
  <w:defaultTabStop w:val="720"/>
  <w:displayHorizontalDrawingGridEvery w:val="1"/>
  <w:displayVerticalDrawingGridEvery w:val="1"/>
  <w:noPunctuationKerning w:val="1"/>
  <w:characterSpacingControl w:val="doNotCompress"/>
  <w:footnotePr>
    <w:footnote w:id="0"/>
    <w:footnote w:id="1"/>
  </w:footnotePr>
  <w:endnotePr>
    <w:endnote w:id="0"/>
    <w:endnote w:id="1"/>
  </w:endnotePr>
  <w:compat>
    <w:doNotExpandShiftReturn/>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0B1C"/>
    <w:rsid w:val="00103D29"/>
    <w:rsid w:val="00107F40"/>
    <w:rsid w:val="00230EED"/>
    <w:rsid w:val="00410B1C"/>
    <w:rsid w:val="004349E3"/>
    <w:rsid w:val="00947BCB"/>
    <w:rsid w:val="00AC0F17"/>
    <w:rsid w:val="00BC0C5E"/>
    <w:rsid w:val="00C04E21"/>
    <w:rsid w:val="00DC0D57"/>
    <w:rsid w:val="00EF426E"/>
    <w:rsid w:val="00F16141"/>
    <w:rsid w:val="00F73ACC"/>
    <w:rsid w:val="144F26C4"/>
    <w:rsid w:val="17FF8505"/>
    <w:rsid w:val="1AFB6958"/>
    <w:rsid w:val="1BCF0EBB"/>
    <w:rsid w:val="397F218F"/>
    <w:rsid w:val="3DB9E250"/>
    <w:rsid w:val="3FF710BA"/>
    <w:rsid w:val="4DFE843B"/>
    <w:rsid w:val="4F6FFFDE"/>
    <w:rsid w:val="4FF57C2C"/>
    <w:rsid w:val="4FFE5C89"/>
    <w:rsid w:val="53DFF9B2"/>
    <w:rsid w:val="6ABE9864"/>
    <w:rsid w:val="6EDA3EC5"/>
    <w:rsid w:val="6FBFC91A"/>
    <w:rsid w:val="6FFE719D"/>
    <w:rsid w:val="738B7E5A"/>
    <w:rsid w:val="73FD3DC9"/>
    <w:rsid w:val="73FF8B20"/>
    <w:rsid w:val="74BF9F30"/>
    <w:rsid w:val="77DBBC31"/>
    <w:rsid w:val="7BFEB13E"/>
    <w:rsid w:val="7DE71642"/>
    <w:rsid w:val="7EFE9C0C"/>
    <w:rsid w:val="7FBFD039"/>
    <w:rsid w:val="7FCFB1AA"/>
    <w:rsid w:val="7FF734B0"/>
    <w:rsid w:val="7FF7FDA8"/>
    <w:rsid w:val="907B47E3"/>
    <w:rsid w:val="A55B958E"/>
    <w:rsid w:val="A7FFE663"/>
    <w:rsid w:val="AD5993C2"/>
    <w:rsid w:val="B0ED9BA2"/>
    <w:rsid w:val="BAF97EEF"/>
    <w:rsid w:val="BB9BA3F7"/>
    <w:rsid w:val="BDF58EC3"/>
    <w:rsid w:val="C9D730F7"/>
    <w:rsid w:val="DDFFF764"/>
    <w:rsid w:val="DF3BF558"/>
    <w:rsid w:val="DFCB9939"/>
    <w:rsid w:val="DFDBC28C"/>
    <w:rsid w:val="E18F510F"/>
    <w:rsid w:val="E37FEBFF"/>
    <w:rsid w:val="EDE9B8E0"/>
    <w:rsid w:val="EE7FE84B"/>
    <w:rsid w:val="EFE06D4B"/>
    <w:rsid w:val="F5AF9933"/>
    <w:rsid w:val="F7F3BA52"/>
    <w:rsid w:val="F7F98BFD"/>
    <w:rsid w:val="F7FF4C3C"/>
    <w:rsid w:val="F7FFC619"/>
    <w:rsid w:val="F97FC811"/>
    <w:rsid w:val="F9FFE658"/>
    <w:rsid w:val="FBBEE5D6"/>
    <w:rsid w:val="FDBE6C19"/>
    <w:rsid w:val="FE7F6D2A"/>
    <w:rsid w:val="FF4D1250"/>
    <w:rsid w:val="FFBA2059"/>
    <w:rsid w:val="FFF3A247"/>
    <w:rsid w:val="FFF9ED4D"/>
    <w:rsid w:val="FFFEDEB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49"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49"/>
    <w:pPr>
      <w:spacing w:after="160" w:line="259" w:lineRule="auto"/>
    </w:pPr>
    <w:rPr>
      <w:rFonts w:eastAsia="Calibri" w:asciiTheme="minorHAnsi" w:hAnsiTheme="minorHAnsi" w:cstheme="minorBidi"/>
      <w:sz w:val="22"/>
      <w:szCs w:val="22"/>
      <w:lang w:val="en-GB" w:eastAsia="en-GB" w:bidi="ar-SA"/>
    </w:rPr>
  </w:style>
  <w:style w:type="character" w:default="1" w:styleId="4">
    <w:name w:val="Default Paragraph Font"/>
    <w:semiHidden/>
    <w:unhideWhenUsed/>
    <w:uiPriority w:val="1"/>
  </w:style>
  <w:style w:type="table" w:default="1" w:styleId="2">
    <w:name w:val="Normal Table"/>
    <w:semiHidden/>
    <w:unhideWhenUsed/>
    <w:uiPriority w:val="99"/>
    <w:tblPr>
      <w:tblCellMar>
        <w:top w:w="0" w:type="dxa"/>
        <w:left w:w="108" w:type="dxa"/>
        <w:bottom w:w="0" w:type="dxa"/>
        <w:right w:w="108" w:type="dxa"/>
      </w:tblCellMar>
    </w:tblPr>
  </w:style>
  <w:style w:type="table" w:styleId="3">
    <w:name w:val="Table Grid"/>
    <w:basedOn w:val="2"/>
    <w:uiPriority w:val="59"/>
    <w:pPr>
      <w:spacing w:before="120"/>
    </w:pPr>
    <w:rPr>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3" Type="http://schemas.openxmlformats.org/officeDocument/2006/relationships/footnotes" Target="footnotes.xml"/><Relationship Id="rId7" Type="http://schemas.openxmlformats.org/officeDocument/2006/relationships/image" Target="media/image2.png"/><Relationship Id="rId12" Type="http://schemas.openxmlformats.org/officeDocument/2006/relationships/customXml" Target="../customXml/item3.xml"/><Relationship Id="rId2" Type="http://schemas.openxmlformats.org/officeDocument/2006/relationships/settings" Target="settings.xml"/><Relationship Id="rId6" Type="http://schemas.openxmlformats.org/officeDocument/2006/relationships/image" Target="media/image1.png"/><Relationship Id="rId1" Type="http://schemas.openxmlformats.org/officeDocument/2006/relationships/styles" Target="styles.xml"/><Relationship Id="rId11" Type="http://schemas.openxmlformats.org/officeDocument/2006/relationships/customXml" Target="../customXml/item2.xml"/><Relationship Id="rId5" Type="http://schemas.openxmlformats.org/officeDocument/2006/relationships/theme" Target="theme/theme1.xml"/><Relationship Id="rId10" Type="http://schemas.openxmlformats.org/officeDocument/2006/relationships/customXml" Target="../customXml/item1.xml"/><Relationship Id="rId9" Type="http://schemas.openxmlformats.org/officeDocument/2006/relationships/fontTable" Target="fontTable.xml"/><Relationship Id="rId4"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0723E4D9254F4D8597AD1413F4A9B3" ma:contentTypeVersion="16" ma:contentTypeDescription="Create a new document." ma:contentTypeScope="" ma:versionID="13ca12a2512240407ee827e8a90d26cf">
  <xsd:schema xmlns:xsd="http://www.w3.org/2001/XMLSchema" xmlns:xs="http://www.w3.org/2001/XMLSchema" xmlns:p="http://schemas.microsoft.com/office/2006/metadata/properties" xmlns:ns2="ece6625c-9e10-4490-982d-83361431e180" xmlns:ns3="d30c9d8b-fb72-4e11-8e52-f1f2c163c1b4" xmlns:ns4="baf88133-dbc0-4a13-8789-6031978f2da1" targetNamespace="http://schemas.microsoft.com/office/2006/metadata/properties" ma:root="true" ma:fieldsID="52548d96b98e8c6a4781f662d812adee" ns2:_="" ns3:_="" ns4:_="">
    <xsd:import namespace="ece6625c-9e10-4490-982d-83361431e180"/>
    <xsd:import namespace="d30c9d8b-fb72-4e11-8e52-f1f2c163c1b4"/>
    <xsd:import namespace="baf88133-dbc0-4a13-8789-6031978f2da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LengthInSeconds" minOccurs="0"/>
                <xsd:element ref="ns3:SharedWithUsers" minOccurs="0"/>
                <xsd:element ref="ns3:SharedWithDetails" minOccurs="0"/>
                <xsd:element ref="ns2:MediaServiceDateTaken"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e6625c-9e10-4490-982d-83361431e1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LengthInSeconds" ma:index="12" nillable="true" ma:displayName="Length (seconds)"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25753fd0-9459-4d0f-88c0-ca0a903db4fc"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30c9d8b-fb72-4e11-8e52-f1f2c163c1b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af88133-dbc0-4a13-8789-6031978f2da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89dc9e17-6f04-4037-982d-31cb7d8e7195}" ma:internalName="TaxCatchAll" ma:showField="CatchAllData" ma:web="d30c9d8b-fb72-4e11-8e52-f1f2c163c1b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baf88133-dbc0-4a13-8789-6031978f2da1" xsi:nil="true"/>
    <SharedWithUsers xmlns="d30c9d8b-fb72-4e11-8e52-f1f2c163c1b4">
      <UserInfo>
        <DisplayName/>
        <AccountId xsi:nil="true"/>
        <AccountType/>
      </UserInfo>
    </SharedWithUsers>
    <lcf76f155ced4ddcb4097134ff3c332f xmlns="ece6625c-9e10-4490-982d-83361431e18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F1C2254-35C2-427D-8F3F-29DFF617B123}"/>
</file>

<file path=customXml/itemProps2.xml><?xml version="1.0" encoding="utf-8"?>
<ds:datastoreItem xmlns:ds="http://schemas.openxmlformats.org/officeDocument/2006/customXml" ds:itemID="{916BB08D-6936-4150-AC0E-8DD541BDF580}"/>
</file>

<file path=customXml/itemProps3.xml><?xml version="1.0" encoding="utf-8"?>
<ds:datastoreItem xmlns:ds="http://schemas.openxmlformats.org/officeDocument/2006/customXml" ds:itemID="{47707EDB-0EA2-4AF7-B55D-66697A334EBE}"/>
</file>

<file path=docProps/app.xml><?xml version="1.0" encoding="utf-8"?>
<Properties xmlns="http://schemas.openxmlformats.org/officeDocument/2006/extended-properties" xmlns:vt="http://schemas.openxmlformats.org/officeDocument/2006/docPropsVTypes">
  <Template>Normal.dotm</Template>
  <Company>GSMA</Company>
  <Pages>4</Pages>
  <Words>172</Words>
  <Characters>983</Characters>
  <Lines>8</Lines>
  <Paragraphs>2</Paragraphs>
  <TotalTime>3</TotalTime>
  <ScaleCrop>false</ScaleCrop>
  <LinksUpToDate>false</LinksUpToDate>
  <CharactersWithSpaces>1153</CharactersWithSpaces>
  <Application>WPS Office_7.4.1.8983_F1E327BC-269C-435d-A152-05C5408002CA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Ethan Duffell</dc:creator>
  <cp:lastModifiedBy>FengShaocong</cp:lastModifiedBy>
  <cp:revision>4</cp:revision>
  <dcterms:created xsi:type="dcterms:W3CDTF">2019-10-31T04:09:00Z</dcterms:created>
  <dcterms:modified xsi:type="dcterms:W3CDTF">2025-09-09T22:40:34Z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2052-7.4.1.8983</vt:lpwstr>
  </property>
  <property fmtid="{D5CDD505-2E9C-101B-9397-08002B2CF9AE}" pid="3" name="ICV">
    <vt:lpwstr>DC73290DAA5301B488A646687FB433B8_43</vt:lpwstr>
  </property>
  <property fmtid="{D5CDD505-2E9C-101B-9397-08002B2CF9AE}" pid="4" name="Order">
    <vt:r8>704600</vt:r8>
  </property>
  <property fmtid="{D5CDD505-2E9C-101B-9397-08002B2CF9AE}" pid="5" name="ContentTypeId">
    <vt:lpwstr>0x010100460723E4D9254F4D8597AD1413F4A9B3</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ies>
</file>